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B7518" w14:textId="6F69E699" w:rsidR="00603A42" w:rsidRPr="00841BCD" w:rsidRDefault="00603A42" w:rsidP="0A7BF86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SG-RAN </w:t>
      </w:r>
      <w:r w:rsidRPr="0A7BF868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WG4 Meeting #92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</w:t>
      </w:r>
      <w:r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19</w:t>
      </w:r>
      <w:r w:rsidR="0A7BF868" w:rsidRPr="0A7BF868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09222</w:t>
      </w:r>
    </w:p>
    <w:p w14:paraId="59AE2EDA" w14:textId="77777777" w:rsidR="00603A42" w:rsidRPr="00841BCD" w:rsidRDefault="00603A42" w:rsidP="00603A4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5E6CF6">
        <w:rPr>
          <w:rFonts w:ascii="Arial" w:eastAsia="SimSun" w:hAnsi="Arial" w:cs="Times New Roman"/>
          <w:b/>
          <w:bCs/>
          <w:sz w:val="24"/>
          <w:szCs w:val="24"/>
          <w:lang w:val="en-GB"/>
        </w:rPr>
        <w:t>Ljubljana, Slovenia, August 26</w:t>
      </w:r>
      <w:r w:rsidRPr="005E6CF6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 w:rsidRPr="005E6CF6">
        <w:rPr>
          <w:rFonts w:ascii="Arial" w:eastAsia="SimSun" w:hAnsi="Arial" w:cs="Times New Roman"/>
          <w:b/>
          <w:bCs/>
          <w:sz w:val="24"/>
          <w:szCs w:val="24"/>
          <w:lang w:val="en-GB"/>
        </w:rPr>
        <w:t>– 30</w:t>
      </w:r>
      <w:r w:rsidRPr="005E6CF6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 w:rsidRPr="005E6CF6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201</w:t>
      </w:r>
      <w:r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9</w:t>
      </w:r>
    </w:p>
    <w:bookmarkEnd w:id="0"/>
    <w:bookmarkEnd w:id="1"/>
    <w:p w14:paraId="44902C27" w14:textId="77777777" w:rsidR="00841BCD" w:rsidRPr="00841BCD" w:rsidRDefault="00841BCD" w:rsidP="002051F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69FABC77" w14:textId="77777777" w:rsidR="00841BCD" w:rsidRPr="00841BCD" w:rsidRDefault="00841BCD" w:rsidP="002051FF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8F5164">
        <w:rPr>
          <w:rFonts w:ascii="Arial" w:eastAsia="Calibri" w:hAnsi="Arial" w:cs="Arial"/>
          <w:b/>
          <w:bCs/>
          <w:sz w:val="24"/>
          <w:lang w:val="en-GB"/>
        </w:rPr>
        <w:t>Nokia Shanghai Bell</w:t>
      </w:r>
      <w:r w:rsidR="00825BAF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1D1B70" w14:textId="2447A336" w:rsidR="00841BCD" w:rsidRPr="00841BCD" w:rsidRDefault="00841BCD" w:rsidP="002051FF">
      <w:pPr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bookmarkStart w:id="3" w:name="_Hlk7778829"/>
      <w:r w:rsidR="00603A42">
        <w:rPr>
          <w:rFonts w:ascii="Arial" w:eastAsia="Calibri" w:hAnsi="Arial" w:cs="Arial"/>
          <w:b/>
          <w:bCs/>
          <w:sz w:val="24"/>
          <w:lang w:val="en-GB"/>
        </w:rPr>
        <w:t xml:space="preserve">NR-U terminology in </w:t>
      </w:r>
      <w:r w:rsidR="00960F12">
        <w:rPr>
          <w:rFonts w:ascii="Arial" w:eastAsia="Calibri" w:hAnsi="Arial" w:cs="Arial"/>
          <w:b/>
          <w:bCs/>
          <w:sz w:val="24"/>
          <w:lang w:val="en-GB"/>
        </w:rPr>
        <w:t>TS 38.133 and TS 36.133</w:t>
      </w:r>
      <w:r w:rsidR="00954212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bookmarkEnd w:id="3"/>
    </w:p>
    <w:p w14:paraId="1EB27B58" w14:textId="13AF8204" w:rsidR="00841BCD" w:rsidRPr="00D035F7" w:rsidRDefault="00841BCD" w:rsidP="002051FF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0"/>
        </w:rPr>
      </w:pPr>
      <w:r w:rsidRPr="00D035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D035F7">
        <w:rPr>
          <w:rFonts w:ascii="Arial" w:eastAsia="MS Mincho" w:hAnsi="Arial" w:cs="Arial"/>
          <w:b/>
          <w:bCs/>
          <w:sz w:val="24"/>
          <w:szCs w:val="20"/>
        </w:rPr>
        <w:tab/>
      </w:r>
      <w:r w:rsidR="00603A42" w:rsidRPr="00D035F7">
        <w:rPr>
          <w:rFonts w:ascii="Arial" w:eastAsia="MS Mincho" w:hAnsi="Arial" w:cs="Arial"/>
          <w:b/>
          <w:bCs/>
          <w:sz w:val="24"/>
          <w:szCs w:val="20"/>
        </w:rPr>
        <w:t>9.1.5</w:t>
      </w:r>
    </w:p>
    <w:p w14:paraId="4032A8C6" w14:textId="5253F180" w:rsidR="00841BCD" w:rsidRPr="00D035F7" w:rsidRDefault="00841BCD" w:rsidP="002051F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</w:rPr>
      </w:pPr>
      <w:r w:rsidRPr="00D035F7">
        <w:rPr>
          <w:rFonts w:ascii="Arial" w:eastAsia="Calibri" w:hAnsi="Arial" w:cs="Arial"/>
          <w:b/>
          <w:bCs/>
          <w:sz w:val="24"/>
        </w:rPr>
        <w:t>Document for:</w:t>
      </w:r>
      <w:r w:rsidRPr="00D035F7">
        <w:rPr>
          <w:rFonts w:ascii="Arial" w:eastAsia="Calibri" w:hAnsi="Arial" w:cs="Arial"/>
          <w:b/>
          <w:bCs/>
          <w:sz w:val="24"/>
        </w:rPr>
        <w:tab/>
        <w:t>Discussion</w:t>
      </w:r>
      <w:r w:rsidR="00D035F7" w:rsidRPr="00D035F7">
        <w:rPr>
          <w:rFonts w:ascii="Arial" w:eastAsia="Calibri" w:hAnsi="Arial" w:cs="Arial"/>
          <w:b/>
          <w:bCs/>
          <w:sz w:val="24"/>
        </w:rPr>
        <w:t xml:space="preserve"> </w:t>
      </w:r>
      <w:r w:rsidR="00D035F7">
        <w:rPr>
          <w:rFonts w:ascii="Arial" w:eastAsia="Calibri" w:hAnsi="Arial" w:cs="Arial"/>
          <w:b/>
          <w:bCs/>
          <w:sz w:val="24"/>
        </w:rPr>
        <w:t>and Decision</w:t>
      </w:r>
    </w:p>
    <w:p w14:paraId="72818A8B" w14:textId="77777777" w:rsidR="00841BCD" w:rsidRPr="00841BCD" w:rsidRDefault="00841BCD" w:rsidP="002051FF">
      <w:pPr>
        <w:keepNext/>
        <w:keepLines/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841BCD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  <w:t>Intro</w:t>
      </w:r>
      <w:r w:rsidRPr="0008612A">
        <w:rPr>
          <w:rStyle w:val="RAN4H1Char"/>
        </w:rPr>
        <w:t>ductio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>n</w:t>
      </w:r>
    </w:p>
    <w:p w14:paraId="6EACF5CC" w14:textId="5D5F655D" w:rsidR="002C54F8" w:rsidRPr="00336C53" w:rsidRDefault="001109F8" w:rsidP="002051FF">
      <w:pPr>
        <w:jc w:val="both"/>
        <w:rPr>
          <w:rFonts w:eastAsia="Calibri" w:cs="Times New Roman"/>
          <w:szCs w:val="20"/>
          <w:lang w:val="en-GB"/>
        </w:rPr>
      </w:pPr>
      <w:r w:rsidRPr="00336C53">
        <w:rPr>
          <w:rFonts w:eastAsia="Calibri" w:cs="Times New Roman"/>
          <w:szCs w:val="20"/>
          <w:lang w:val="en-GB"/>
        </w:rPr>
        <w:t xml:space="preserve">A WI on </w:t>
      </w:r>
      <w:r w:rsidR="001D54CB" w:rsidRPr="00336C53">
        <w:rPr>
          <w:rFonts w:eastAsia="Calibri" w:cs="Times New Roman"/>
          <w:szCs w:val="20"/>
          <w:lang w:val="en-GB"/>
        </w:rPr>
        <w:t xml:space="preserve">NR-based Access to Unlicensed Spectrum </w:t>
      </w:r>
      <w:r w:rsidR="001D54CB" w:rsidRPr="00336C53">
        <w:rPr>
          <w:rFonts w:eastAsia="Calibri" w:cs="Times New Roman"/>
          <w:szCs w:val="20"/>
          <w:lang w:val="en-GB"/>
        </w:rPr>
        <w:fldChar w:fldCharType="begin"/>
      </w:r>
      <w:r w:rsidR="001D54CB" w:rsidRPr="00336C53">
        <w:rPr>
          <w:rFonts w:eastAsia="Calibri" w:cs="Times New Roman"/>
          <w:szCs w:val="20"/>
          <w:lang w:val="en-GB"/>
        </w:rPr>
        <w:instrText xml:space="preserve"> REF _Ref431017336 \r \h </w:instrText>
      </w:r>
      <w:r w:rsidR="00973CFD" w:rsidRPr="00336C53">
        <w:rPr>
          <w:rFonts w:eastAsia="Calibri" w:cs="Times New Roman"/>
          <w:szCs w:val="20"/>
          <w:lang w:val="en-GB"/>
        </w:rPr>
        <w:instrText xml:space="preserve"> \* MERGEFORMAT </w:instrText>
      </w:r>
      <w:r w:rsidR="001D54CB" w:rsidRPr="00336C53">
        <w:rPr>
          <w:rFonts w:eastAsia="Calibri" w:cs="Times New Roman"/>
          <w:szCs w:val="20"/>
          <w:lang w:val="en-GB"/>
        </w:rPr>
      </w:r>
      <w:r w:rsidR="001D54CB" w:rsidRPr="00336C53">
        <w:rPr>
          <w:rFonts w:eastAsia="Calibri" w:cs="Times New Roman"/>
          <w:szCs w:val="20"/>
          <w:lang w:val="en-GB"/>
        </w:rPr>
        <w:fldChar w:fldCharType="separate"/>
      </w:r>
      <w:r w:rsidR="001500E4">
        <w:rPr>
          <w:rFonts w:eastAsia="Calibri" w:cs="Times New Roman"/>
          <w:szCs w:val="20"/>
          <w:lang w:val="en-GB"/>
        </w:rPr>
        <w:t>[1]</w:t>
      </w:r>
      <w:r w:rsidR="001D54CB" w:rsidRPr="00336C53">
        <w:rPr>
          <w:rFonts w:eastAsia="Calibri" w:cs="Times New Roman"/>
          <w:szCs w:val="20"/>
          <w:lang w:val="en-GB"/>
        </w:rPr>
        <w:fldChar w:fldCharType="end"/>
      </w:r>
      <w:r w:rsidR="001D54CB" w:rsidRPr="00336C53">
        <w:rPr>
          <w:rFonts w:eastAsia="Calibri" w:cs="Times New Roman"/>
          <w:szCs w:val="20"/>
          <w:lang w:val="en-GB"/>
        </w:rPr>
        <w:t xml:space="preserve"> was approved in RAN Meeting #82.</w:t>
      </w:r>
      <w:r w:rsidR="00825BAF" w:rsidRPr="00336C53">
        <w:rPr>
          <w:rFonts w:eastAsia="Calibri" w:cs="Times New Roman"/>
          <w:szCs w:val="20"/>
          <w:lang w:val="en-GB"/>
        </w:rPr>
        <w:t xml:space="preserve"> This WI was based on the </w:t>
      </w:r>
      <w:r w:rsidR="005A1E00" w:rsidRPr="00336C53">
        <w:rPr>
          <w:rFonts w:eastAsia="Calibri" w:cs="Times New Roman"/>
          <w:szCs w:val="20"/>
          <w:lang w:val="en-GB"/>
        </w:rPr>
        <w:t xml:space="preserve">findings in </w:t>
      </w:r>
      <w:r w:rsidR="00825BAF" w:rsidRPr="00336C53">
        <w:rPr>
          <w:rFonts w:eastAsia="Calibri" w:cs="Times New Roman"/>
          <w:szCs w:val="20"/>
          <w:lang w:val="en-GB"/>
        </w:rPr>
        <w:t xml:space="preserve">“Study on NR-based Access to Unlicensed Spectrum”, </w:t>
      </w:r>
      <w:r w:rsidR="005A1E00" w:rsidRPr="00336C53">
        <w:rPr>
          <w:rFonts w:eastAsia="Calibri" w:cs="Times New Roman"/>
          <w:szCs w:val="20"/>
          <w:lang w:val="en-GB"/>
        </w:rPr>
        <w:t>which are</w:t>
      </w:r>
      <w:r w:rsidR="00825BAF" w:rsidRPr="00336C53">
        <w:rPr>
          <w:rFonts w:eastAsia="Calibri" w:cs="Times New Roman"/>
          <w:szCs w:val="20"/>
          <w:lang w:val="en-GB"/>
        </w:rPr>
        <w:t xml:space="preserve"> summarized in </w:t>
      </w:r>
      <w:r w:rsidR="00825BAF" w:rsidRPr="00336C53">
        <w:rPr>
          <w:rFonts w:eastAsia="Calibri" w:cs="Times New Roman"/>
          <w:szCs w:val="20"/>
          <w:lang w:val="en-GB"/>
        </w:rPr>
        <w:fldChar w:fldCharType="begin"/>
      </w:r>
      <w:r w:rsidR="00825BAF" w:rsidRPr="00336C53">
        <w:rPr>
          <w:rFonts w:eastAsia="Calibri" w:cs="Times New Roman"/>
          <w:szCs w:val="20"/>
          <w:lang w:val="en-GB"/>
        </w:rPr>
        <w:instrText xml:space="preserve"> REF _Ref2843888 \r \h </w:instrText>
      </w:r>
      <w:r w:rsidR="00973CFD" w:rsidRPr="00336C53">
        <w:rPr>
          <w:rFonts w:eastAsia="Calibri" w:cs="Times New Roman"/>
          <w:szCs w:val="20"/>
          <w:lang w:val="en-GB"/>
        </w:rPr>
        <w:instrText xml:space="preserve"> \* MERGEFORMAT </w:instrText>
      </w:r>
      <w:r w:rsidR="00825BAF" w:rsidRPr="00336C53">
        <w:rPr>
          <w:rFonts w:eastAsia="Calibri" w:cs="Times New Roman"/>
          <w:szCs w:val="20"/>
          <w:lang w:val="en-GB"/>
        </w:rPr>
      </w:r>
      <w:r w:rsidR="00825BAF" w:rsidRPr="00336C53">
        <w:rPr>
          <w:rFonts w:eastAsia="Calibri" w:cs="Times New Roman"/>
          <w:szCs w:val="20"/>
          <w:lang w:val="en-GB"/>
        </w:rPr>
        <w:fldChar w:fldCharType="separate"/>
      </w:r>
      <w:r w:rsidR="001500E4">
        <w:rPr>
          <w:rFonts w:eastAsia="Calibri" w:cs="Times New Roman"/>
          <w:szCs w:val="20"/>
          <w:lang w:val="en-GB"/>
        </w:rPr>
        <w:t>[2]</w:t>
      </w:r>
      <w:r w:rsidR="00825BAF" w:rsidRPr="00336C53">
        <w:rPr>
          <w:rFonts w:eastAsia="Calibri" w:cs="Times New Roman"/>
          <w:szCs w:val="20"/>
          <w:lang w:val="en-GB"/>
        </w:rPr>
        <w:fldChar w:fldCharType="end"/>
      </w:r>
      <w:r w:rsidR="005A1E00" w:rsidRPr="00336C53">
        <w:rPr>
          <w:rFonts w:eastAsia="Calibri" w:cs="Times New Roman"/>
          <w:szCs w:val="20"/>
          <w:lang w:val="en-GB"/>
        </w:rPr>
        <w:t>, considering operation in below 7GHz bands</w:t>
      </w:r>
      <w:r w:rsidR="00825BAF" w:rsidRPr="00336C53">
        <w:rPr>
          <w:rFonts w:eastAsia="Calibri" w:cs="Times New Roman"/>
          <w:szCs w:val="20"/>
          <w:lang w:val="en-GB"/>
        </w:rPr>
        <w:t>.</w:t>
      </w:r>
      <w:r w:rsidR="00B469B2" w:rsidRPr="00336C53">
        <w:rPr>
          <w:rFonts w:eastAsia="Calibri" w:cs="Times New Roman"/>
          <w:szCs w:val="20"/>
          <w:lang w:val="en-GB"/>
        </w:rPr>
        <w:t xml:space="preserve"> The design target of the WID is to specify a single global solution for NR-based access to unlicensed spectrum, compatible with the NR concepts</w:t>
      </w:r>
      <w:r w:rsidR="002C54F8" w:rsidRPr="00336C53">
        <w:rPr>
          <w:rFonts w:eastAsia="Calibri" w:cs="Times New Roman"/>
          <w:szCs w:val="20"/>
          <w:lang w:val="en-GB"/>
        </w:rPr>
        <w:t>, reusing the features of NR as much as possible.</w:t>
      </w:r>
      <w:r w:rsidR="008E67FB" w:rsidRPr="00336C53">
        <w:rPr>
          <w:rFonts w:eastAsia="Calibri" w:cs="Times New Roman"/>
          <w:szCs w:val="20"/>
          <w:lang w:val="en-GB"/>
        </w:rPr>
        <w:t xml:space="preserve"> </w:t>
      </w:r>
      <w:r w:rsidR="008E67FB" w:rsidRPr="00336C53">
        <w:rPr>
          <w:szCs w:val="20"/>
        </w:rPr>
        <w:t xml:space="preserve">NR-U will guarantee fair access to the unlicensed spectrum with Listen-Before Talk (LBT) mechanism, using the mechanism in LTE-LAA as baseline for 5 GHz, and as a starting point of the design for operation in the 6GHz band </w:t>
      </w:r>
      <w:r w:rsidR="008E67FB" w:rsidRPr="00336C53">
        <w:rPr>
          <w:szCs w:val="20"/>
        </w:rPr>
        <w:fldChar w:fldCharType="begin"/>
      </w:r>
      <w:r w:rsidR="008E67FB" w:rsidRPr="00336C53">
        <w:rPr>
          <w:szCs w:val="20"/>
        </w:rPr>
        <w:instrText xml:space="preserve"> REF _Ref2843888 \r \h </w:instrText>
      </w:r>
      <w:r w:rsidR="00973CFD" w:rsidRPr="00336C53">
        <w:rPr>
          <w:szCs w:val="20"/>
        </w:rPr>
        <w:instrText xml:space="preserve"> \* MERGEFORMAT </w:instrText>
      </w:r>
      <w:r w:rsidR="008E67FB" w:rsidRPr="00336C53">
        <w:rPr>
          <w:szCs w:val="20"/>
        </w:rPr>
      </w:r>
      <w:r w:rsidR="008E67FB" w:rsidRPr="00336C53">
        <w:rPr>
          <w:szCs w:val="20"/>
        </w:rPr>
        <w:fldChar w:fldCharType="separate"/>
      </w:r>
      <w:r w:rsidR="001500E4">
        <w:rPr>
          <w:szCs w:val="20"/>
        </w:rPr>
        <w:t>[2]</w:t>
      </w:r>
      <w:r w:rsidR="008E67FB" w:rsidRPr="00336C53">
        <w:rPr>
          <w:szCs w:val="20"/>
        </w:rPr>
        <w:fldChar w:fldCharType="end"/>
      </w:r>
      <w:r w:rsidR="008E67FB" w:rsidRPr="00336C53">
        <w:rPr>
          <w:szCs w:val="20"/>
        </w:rPr>
        <w:t>.</w:t>
      </w:r>
    </w:p>
    <w:p w14:paraId="7C5E8453" w14:textId="77777777" w:rsidR="002C54F8" w:rsidRPr="00336C53" w:rsidRDefault="002C54F8" w:rsidP="002051FF">
      <w:pPr>
        <w:jc w:val="both"/>
        <w:rPr>
          <w:szCs w:val="20"/>
        </w:rPr>
      </w:pPr>
      <w:r w:rsidRPr="00336C53">
        <w:rPr>
          <w:rFonts w:eastAsia="Calibri" w:cs="Times New Roman"/>
          <w:szCs w:val="20"/>
          <w:lang w:val="en-GB"/>
        </w:rPr>
        <w:t>T</w:t>
      </w:r>
      <w:r w:rsidR="001F364B" w:rsidRPr="00336C53">
        <w:rPr>
          <w:rFonts w:eastAsia="Calibri" w:cs="Times New Roman"/>
          <w:szCs w:val="20"/>
          <w:lang w:val="en-GB"/>
        </w:rPr>
        <w:t xml:space="preserve">he feasibility of NR operation in unlicensed spectrum was determined considering </w:t>
      </w:r>
      <w:r w:rsidR="00556D62" w:rsidRPr="00336C53">
        <w:rPr>
          <w:rFonts w:eastAsia="Calibri" w:cs="Times New Roman"/>
          <w:szCs w:val="20"/>
          <w:lang w:val="en-GB"/>
        </w:rPr>
        <w:t xml:space="preserve">five different scenarios namely </w:t>
      </w:r>
      <w:r w:rsidRPr="00336C53">
        <w:rPr>
          <w:szCs w:val="20"/>
        </w:rPr>
        <w:t>NR-U LAA,</w:t>
      </w:r>
      <w:r w:rsidRPr="00336C53">
        <w:rPr>
          <w:b/>
          <w:szCs w:val="20"/>
        </w:rPr>
        <w:t xml:space="preserve"> </w:t>
      </w:r>
      <w:r w:rsidRPr="00336C53">
        <w:rPr>
          <w:szCs w:val="20"/>
        </w:rPr>
        <w:t>ENU-DC</w:t>
      </w:r>
      <w:r w:rsidRPr="00336C53">
        <w:rPr>
          <w:b/>
          <w:szCs w:val="20"/>
        </w:rPr>
        <w:t xml:space="preserve">, </w:t>
      </w:r>
      <w:r w:rsidRPr="00336C53">
        <w:rPr>
          <w:szCs w:val="20"/>
        </w:rPr>
        <w:t>NR-U SA, NR-U SA with uplink in licensed band and NNU-DC, as follows:</w:t>
      </w:r>
    </w:p>
    <w:p w14:paraId="51074FAC" w14:textId="77777777" w:rsidR="002C54F8" w:rsidRPr="00336C53" w:rsidRDefault="002C54F8" w:rsidP="002051FF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Cs/>
          <w:szCs w:val="20"/>
        </w:rPr>
      </w:pPr>
      <w:r w:rsidRPr="00336C53">
        <w:rPr>
          <w:bCs/>
          <w:szCs w:val="20"/>
        </w:rPr>
        <w:t>Scenario A: Carrier aggregation between licensed band NR (</w:t>
      </w:r>
      <w:proofErr w:type="spellStart"/>
      <w:r w:rsidRPr="00336C53">
        <w:rPr>
          <w:bCs/>
          <w:szCs w:val="20"/>
        </w:rPr>
        <w:t>PCell</w:t>
      </w:r>
      <w:proofErr w:type="spellEnd"/>
      <w:r w:rsidRPr="00336C53">
        <w:rPr>
          <w:bCs/>
          <w:szCs w:val="20"/>
        </w:rPr>
        <w:t>) and NR-U (</w:t>
      </w:r>
      <w:proofErr w:type="spellStart"/>
      <w:r w:rsidRPr="00336C53">
        <w:rPr>
          <w:bCs/>
          <w:szCs w:val="20"/>
        </w:rPr>
        <w:t>SCell</w:t>
      </w:r>
      <w:proofErr w:type="spellEnd"/>
      <w:r w:rsidRPr="00336C53">
        <w:rPr>
          <w:bCs/>
          <w:szCs w:val="20"/>
        </w:rPr>
        <w:t xml:space="preserve">) </w:t>
      </w:r>
    </w:p>
    <w:p w14:paraId="20886C80" w14:textId="77777777" w:rsidR="002C54F8" w:rsidRPr="00336C53" w:rsidRDefault="002C54F8" w:rsidP="002051FF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Cs/>
          <w:szCs w:val="20"/>
        </w:rPr>
      </w:pPr>
      <w:r w:rsidRPr="00336C53">
        <w:rPr>
          <w:bCs/>
          <w:szCs w:val="20"/>
        </w:rPr>
        <w:t xml:space="preserve">NR-U </w:t>
      </w:r>
      <w:proofErr w:type="spellStart"/>
      <w:r w:rsidRPr="00336C53">
        <w:rPr>
          <w:bCs/>
          <w:szCs w:val="20"/>
        </w:rPr>
        <w:t>SCell</w:t>
      </w:r>
      <w:proofErr w:type="spellEnd"/>
      <w:r w:rsidRPr="00336C53">
        <w:rPr>
          <w:bCs/>
          <w:szCs w:val="20"/>
        </w:rPr>
        <w:t xml:space="preserve"> may have both DL and UL, or DL-only.</w:t>
      </w:r>
    </w:p>
    <w:p w14:paraId="2CB73D5F" w14:textId="77777777" w:rsidR="002C54F8" w:rsidRPr="00336C53" w:rsidRDefault="002C54F8" w:rsidP="002051FF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Cs/>
          <w:szCs w:val="20"/>
        </w:rPr>
      </w:pPr>
      <w:r w:rsidRPr="00336C53">
        <w:rPr>
          <w:bCs/>
          <w:szCs w:val="20"/>
        </w:rPr>
        <w:t>Scenario B: Dual connectivity between licensed band LTE (</w:t>
      </w:r>
      <w:proofErr w:type="spellStart"/>
      <w:r w:rsidRPr="00336C53">
        <w:rPr>
          <w:bCs/>
          <w:szCs w:val="20"/>
        </w:rPr>
        <w:t>PCell</w:t>
      </w:r>
      <w:proofErr w:type="spellEnd"/>
      <w:r w:rsidRPr="00336C53">
        <w:rPr>
          <w:bCs/>
          <w:szCs w:val="20"/>
        </w:rPr>
        <w:t>) and NR-U (</w:t>
      </w:r>
      <w:proofErr w:type="spellStart"/>
      <w:r w:rsidRPr="00336C53">
        <w:rPr>
          <w:bCs/>
          <w:szCs w:val="20"/>
        </w:rPr>
        <w:t>PSCell</w:t>
      </w:r>
      <w:proofErr w:type="spellEnd"/>
      <w:r w:rsidRPr="00336C53">
        <w:rPr>
          <w:bCs/>
          <w:szCs w:val="20"/>
        </w:rPr>
        <w:t>)</w:t>
      </w:r>
    </w:p>
    <w:p w14:paraId="0CBA3B4F" w14:textId="77777777" w:rsidR="002C54F8" w:rsidRPr="00336C53" w:rsidRDefault="002C54F8" w:rsidP="002051FF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Cs/>
          <w:szCs w:val="20"/>
        </w:rPr>
      </w:pPr>
      <w:r w:rsidRPr="00336C53">
        <w:rPr>
          <w:bCs/>
          <w:szCs w:val="20"/>
        </w:rPr>
        <w:t>Scenario C: Stand-alone NR-U</w:t>
      </w:r>
    </w:p>
    <w:p w14:paraId="5F81F859" w14:textId="77777777" w:rsidR="002C54F8" w:rsidRPr="00336C53" w:rsidRDefault="002C54F8" w:rsidP="002051FF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Cs/>
          <w:szCs w:val="20"/>
        </w:rPr>
      </w:pPr>
      <w:r w:rsidRPr="00336C53">
        <w:rPr>
          <w:bCs/>
          <w:szCs w:val="20"/>
        </w:rPr>
        <w:t>Scenario D: A stand-alone NR cell in unlicensed band and UL in licensed band</w:t>
      </w:r>
    </w:p>
    <w:p w14:paraId="430382F4" w14:textId="697557C6" w:rsidR="009379CD" w:rsidRDefault="002C54F8" w:rsidP="002051FF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Cs/>
          <w:szCs w:val="20"/>
        </w:rPr>
      </w:pPr>
      <w:r w:rsidRPr="00336C53">
        <w:rPr>
          <w:bCs/>
          <w:szCs w:val="20"/>
        </w:rPr>
        <w:t xml:space="preserve">Scenario E: Dual connectivity between licensed band NR and NR-U. </w:t>
      </w:r>
    </w:p>
    <w:p w14:paraId="05B888B7" w14:textId="136182B7" w:rsidR="009379CD" w:rsidRDefault="009379CD" w:rsidP="009379C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bCs/>
          <w:szCs w:val="20"/>
        </w:rPr>
      </w:pPr>
    </w:p>
    <w:p w14:paraId="1EE05CBB" w14:textId="09E492FE" w:rsidR="009379CD" w:rsidRDefault="009379CD" w:rsidP="009379C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bCs/>
          <w:szCs w:val="20"/>
        </w:rPr>
      </w:pPr>
      <w:r>
        <w:rPr>
          <w:bCs/>
          <w:szCs w:val="20"/>
        </w:rPr>
        <w:t xml:space="preserve">How to address these scenarios in the RRM specifications was discussed previously in RAN4#90bis and RAN4#91. </w:t>
      </w:r>
      <w:r w:rsidR="0038445C">
        <w:rPr>
          <w:bCs/>
          <w:szCs w:val="20"/>
        </w:rPr>
        <w:t>In RAN4#90bis</w:t>
      </w:r>
      <w:r w:rsidR="0038445C" w:rsidRPr="00336C53">
        <w:rPr>
          <w:bCs/>
          <w:szCs w:val="20"/>
        </w:rPr>
        <w:fldChar w:fldCharType="begin"/>
      </w:r>
      <w:r w:rsidR="0038445C" w:rsidRPr="00336C53">
        <w:rPr>
          <w:bCs/>
          <w:szCs w:val="20"/>
        </w:rPr>
        <w:instrText xml:space="preserve"> REF _Ref7084905 \r \h  \* MERGEFORMAT </w:instrText>
      </w:r>
      <w:r w:rsidR="0038445C" w:rsidRPr="00336C53">
        <w:rPr>
          <w:bCs/>
          <w:szCs w:val="20"/>
        </w:rPr>
      </w:r>
      <w:r w:rsidR="0038445C" w:rsidRPr="00336C53">
        <w:rPr>
          <w:bCs/>
          <w:szCs w:val="20"/>
        </w:rPr>
        <w:fldChar w:fldCharType="separate"/>
      </w:r>
      <w:r w:rsidR="001500E4">
        <w:rPr>
          <w:bCs/>
          <w:szCs w:val="20"/>
        </w:rPr>
        <w:t>[3]</w:t>
      </w:r>
      <w:r w:rsidR="0038445C" w:rsidRPr="00336C53">
        <w:rPr>
          <w:bCs/>
          <w:szCs w:val="20"/>
        </w:rPr>
        <w:fldChar w:fldCharType="end"/>
      </w:r>
      <w:r w:rsidR="0038445C">
        <w:rPr>
          <w:bCs/>
          <w:szCs w:val="20"/>
        </w:rPr>
        <w:t xml:space="preserve">, the following principle was identified: </w:t>
      </w:r>
    </w:p>
    <w:p w14:paraId="5A2A220C" w14:textId="77777777" w:rsidR="0038445C" w:rsidRPr="00336C53" w:rsidRDefault="0038445C" w:rsidP="0038445C">
      <w:pPr>
        <w:spacing w:after="180" w:line="240" w:lineRule="auto"/>
        <w:ind w:left="1440"/>
        <w:jc w:val="both"/>
        <w:rPr>
          <w:szCs w:val="20"/>
          <w:lang w:eastAsia="x-none"/>
        </w:rPr>
      </w:pPr>
      <w:r w:rsidRPr="00336C53">
        <w:rPr>
          <w:szCs w:val="20"/>
          <w:lang w:eastAsia="x-none"/>
        </w:rPr>
        <w:t>The NR-U terminology needs to be aligned with other working groups (e.g., how to refer to NR-U in RRM specifications, scenarios naming, etc.).</w:t>
      </w:r>
    </w:p>
    <w:p w14:paraId="61A3D9B6" w14:textId="046305DD" w:rsidR="00BB486B" w:rsidRPr="00127DE6" w:rsidRDefault="00924F0B" w:rsidP="0038445C">
      <w:pPr>
        <w:jc w:val="both"/>
      </w:pPr>
      <w:r w:rsidRPr="00336C53">
        <w:rPr>
          <w:rFonts w:eastAsia="Calibri" w:cs="Times New Roman"/>
          <w:szCs w:val="20"/>
        </w:rPr>
        <w:t xml:space="preserve">In this document, we discuss the </w:t>
      </w:r>
      <w:r w:rsidR="006F7313">
        <w:rPr>
          <w:rFonts w:eastAsia="Calibri" w:cs="Times New Roman"/>
          <w:szCs w:val="20"/>
        </w:rPr>
        <w:t>NR-U terminology in RRM specifications</w:t>
      </w:r>
      <w:r w:rsidR="0038445C">
        <w:rPr>
          <w:rFonts w:eastAsia="Calibri" w:cs="Times New Roman"/>
          <w:szCs w:val="20"/>
        </w:rPr>
        <w:t>,</w:t>
      </w:r>
      <w:r w:rsidR="000B615D">
        <w:rPr>
          <w:rFonts w:eastAsia="Calibri" w:cs="Times New Roman"/>
          <w:szCs w:val="20"/>
        </w:rPr>
        <w:t xml:space="preserve"> TS 36.133 </w:t>
      </w:r>
      <w:r w:rsidR="000B615D">
        <w:rPr>
          <w:rFonts w:eastAsia="Calibri" w:cs="Times New Roman"/>
          <w:szCs w:val="20"/>
        </w:rPr>
        <w:fldChar w:fldCharType="begin"/>
      </w:r>
      <w:r w:rsidR="000B615D">
        <w:rPr>
          <w:rFonts w:eastAsia="Calibri" w:cs="Times New Roman"/>
          <w:szCs w:val="20"/>
        </w:rPr>
        <w:instrText xml:space="preserve"> REF _Ref7010562 \r \h </w:instrText>
      </w:r>
      <w:r w:rsidR="000B615D">
        <w:rPr>
          <w:rFonts w:eastAsia="Calibri" w:cs="Times New Roman"/>
          <w:szCs w:val="20"/>
        </w:rPr>
      </w:r>
      <w:r w:rsidR="000B615D">
        <w:rPr>
          <w:rFonts w:eastAsia="Calibri" w:cs="Times New Roman"/>
          <w:szCs w:val="20"/>
        </w:rPr>
        <w:fldChar w:fldCharType="separate"/>
      </w:r>
      <w:r w:rsidR="001500E4">
        <w:rPr>
          <w:rFonts w:eastAsia="Calibri" w:cs="Times New Roman"/>
          <w:szCs w:val="20"/>
        </w:rPr>
        <w:t>[4]</w:t>
      </w:r>
      <w:r w:rsidR="000B615D">
        <w:rPr>
          <w:rFonts w:eastAsia="Calibri" w:cs="Times New Roman"/>
          <w:szCs w:val="20"/>
        </w:rPr>
        <w:fldChar w:fldCharType="end"/>
      </w:r>
      <w:r w:rsidR="000B615D">
        <w:rPr>
          <w:rFonts w:eastAsia="Calibri" w:cs="Times New Roman"/>
          <w:szCs w:val="20"/>
        </w:rPr>
        <w:t xml:space="preserve"> and 38.133</w:t>
      </w:r>
      <w:r w:rsidR="000B615D">
        <w:rPr>
          <w:rFonts w:eastAsia="Calibri" w:cs="Times New Roman"/>
          <w:szCs w:val="20"/>
        </w:rPr>
        <w:fldChar w:fldCharType="begin"/>
      </w:r>
      <w:r w:rsidR="000B615D">
        <w:rPr>
          <w:rFonts w:eastAsia="Calibri" w:cs="Times New Roman"/>
          <w:szCs w:val="20"/>
        </w:rPr>
        <w:instrText xml:space="preserve"> REF _Ref7010585 \r \h </w:instrText>
      </w:r>
      <w:r w:rsidR="000B615D">
        <w:rPr>
          <w:rFonts w:eastAsia="Calibri" w:cs="Times New Roman"/>
          <w:szCs w:val="20"/>
        </w:rPr>
      </w:r>
      <w:r w:rsidR="000B615D">
        <w:rPr>
          <w:rFonts w:eastAsia="Calibri" w:cs="Times New Roman"/>
          <w:szCs w:val="20"/>
        </w:rPr>
        <w:fldChar w:fldCharType="separate"/>
      </w:r>
      <w:r w:rsidR="001500E4">
        <w:rPr>
          <w:rFonts w:eastAsia="Calibri" w:cs="Times New Roman"/>
          <w:szCs w:val="20"/>
        </w:rPr>
        <w:t>[5]</w:t>
      </w:r>
      <w:r w:rsidR="000B615D">
        <w:rPr>
          <w:rFonts w:eastAsia="Calibri" w:cs="Times New Roman"/>
          <w:szCs w:val="20"/>
        </w:rPr>
        <w:fldChar w:fldCharType="end"/>
      </w:r>
      <w:r w:rsidR="000B615D">
        <w:rPr>
          <w:rFonts w:eastAsia="Calibri" w:cs="Times New Roman"/>
          <w:szCs w:val="20"/>
        </w:rPr>
        <w:t xml:space="preserve">, </w:t>
      </w:r>
      <w:r w:rsidR="0038445C">
        <w:rPr>
          <w:rFonts w:eastAsia="Calibri" w:cs="Times New Roman"/>
          <w:szCs w:val="20"/>
        </w:rPr>
        <w:t xml:space="preserve"> based on the discussion</w:t>
      </w:r>
      <w:r w:rsidR="00D3647B">
        <w:rPr>
          <w:rFonts w:eastAsia="Calibri" w:cs="Times New Roman"/>
          <w:szCs w:val="20"/>
        </w:rPr>
        <w:t xml:space="preserve">s and proposals in </w:t>
      </w:r>
      <w:r w:rsidR="00D3647B">
        <w:rPr>
          <w:rFonts w:eastAsia="Calibri" w:cs="Times New Roman"/>
          <w:szCs w:val="20"/>
        </w:rPr>
        <w:fldChar w:fldCharType="begin"/>
      </w:r>
      <w:r w:rsidR="00D3647B">
        <w:rPr>
          <w:rFonts w:eastAsia="Calibri" w:cs="Times New Roman"/>
          <w:szCs w:val="20"/>
        </w:rPr>
        <w:instrText xml:space="preserve"> REF _Ref16598457 \r \h </w:instrText>
      </w:r>
      <w:r w:rsidR="00D3647B">
        <w:rPr>
          <w:rFonts w:eastAsia="Calibri" w:cs="Times New Roman"/>
          <w:szCs w:val="20"/>
        </w:rPr>
      </w:r>
      <w:r w:rsidR="00D3647B">
        <w:rPr>
          <w:rFonts w:eastAsia="Calibri" w:cs="Times New Roman"/>
          <w:szCs w:val="20"/>
        </w:rPr>
        <w:fldChar w:fldCharType="separate"/>
      </w:r>
      <w:r w:rsidR="001500E4">
        <w:rPr>
          <w:rFonts w:eastAsia="Calibri" w:cs="Times New Roman"/>
          <w:szCs w:val="20"/>
        </w:rPr>
        <w:t>[6]</w:t>
      </w:r>
      <w:r w:rsidR="00D3647B">
        <w:rPr>
          <w:rFonts w:eastAsia="Calibri" w:cs="Times New Roman"/>
          <w:szCs w:val="20"/>
        </w:rPr>
        <w:fldChar w:fldCharType="end"/>
      </w:r>
      <w:r w:rsidR="00D3647B">
        <w:rPr>
          <w:rFonts w:eastAsia="Calibri" w:cs="Times New Roman"/>
          <w:szCs w:val="20"/>
        </w:rPr>
        <w:t>.</w:t>
      </w:r>
    </w:p>
    <w:p w14:paraId="02CE0A35" w14:textId="4B943ECD" w:rsidR="00BB486B" w:rsidRPr="00127DE6" w:rsidRDefault="009379CD" w:rsidP="00BB486B">
      <w:pPr>
        <w:pStyle w:val="RAN4H1"/>
        <w:jc w:val="both"/>
      </w:pPr>
      <w:r>
        <w:t>2</w:t>
      </w:r>
      <w:r>
        <w:tab/>
        <w:t>NR in unlicensed bands terminology</w:t>
      </w:r>
    </w:p>
    <w:p w14:paraId="05F58978" w14:textId="10F5810D" w:rsidR="00D3647B" w:rsidRDefault="0038445C" w:rsidP="00BC08CB">
      <w:pPr>
        <w:jc w:val="both"/>
        <w:rPr>
          <w:szCs w:val="20"/>
        </w:rPr>
      </w:pPr>
      <w:r>
        <w:rPr>
          <w:szCs w:val="20"/>
        </w:rPr>
        <w:t>In</w:t>
      </w:r>
      <w:r w:rsidR="00676B91" w:rsidRPr="002154C0">
        <w:rPr>
          <w:szCs w:val="20"/>
        </w:rPr>
        <w:t xml:space="preserve"> RAN4 #90 bis,</w:t>
      </w:r>
      <w:r>
        <w:rPr>
          <w:szCs w:val="20"/>
        </w:rPr>
        <w:t xml:space="preserve"> and RAN4#91</w:t>
      </w:r>
      <w:r w:rsidR="00676B91" w:rsidRPr="002154C0">
        <w:rPr>
          <w:szCs w:val="20"/>
        </w:rPr>
        <w:t xml:space="preserve"> the terminology to be used </w:t>
      </w:r>
      <w:r w:rsidR="00BC08CB" w:rsidRPr="002154C0">
        <w:rPr>
          <w:szCs w:val="20"/>
        </w:rPr>
        <w:t>for</w:t>
      </w:r>
      <w:r w:rsidR="00676B91" w:rsidRPr="002154C0">
        <w:rPr>
          <w:szCs w:val="20"/>
        </w:rPr>
        <w:t xml:space="preserve"> NR-U in the RRM specifications was discussed. </w:t>
      </w:r>
      <w:r>
        <w:rPr>
          <w:szCs w:val="20"/>
        </w:rPr>
        <w:t>In</w:t>
      </w:r>
      <w:r w:rsidR="00676B91" w:rsidRPr="002154C0">
        <w:rPr>
          <w:szCs w:val="20"/>
        </w:rPr>
        <w:t xml:space="preserve"> </w:t>
      </w:r>
      <w:r w:rsidR="00676B91" w:rsidRPr="002154C0">
        <w:rPr>
          <w:szCs w:val="20"/>
        </w:rPr>
        <w:fldChar w:fldCharType="begin"/>
      </w:r>
      <w:r w:rsidR="00676B91" w:rsidRPr="002154C0">
        <w:rPr>
          <w:szCs w:val="20"/>
        </w:rPr>
        <w:instrText xml:space="preserve"> REF _Ref7009734 \r \h </w:instrText>
      </w:r>
      <w:r w:rsidR="00BC08CB" w:rsidRPr="002154C0">
        <w:rPr>
          <w:szCs w:val="20"/>
        </w:rPr>
        <w:instrText xml:space="preserve"> \* MERGEFORMAT </w:instrText>
      </w:r>
      <w:r w:rsidR="00676B91" w:rsidRPr="002154C0">
        <w:rPr>
          <w:szCs w:val="20"/>
        </w:rPr>
      </w:r>
      <w:r w:rsidR="00676B91" w:rsidRPr="002154C0">
        <w:rPr>
          <w:szCs w:val="20"/>
        </w:rPr>
        <w:fldChar w:fldCharType="separate"/>
      </w:r>
      <w:r w:rsidR="001500E4">
        <w:rPr>
          <w:szCs w:val="20"/>
        </w:rPr>
        <w:t>[7]</w:t>
      </w:r>
      <w:r w:rsidR="00676B91" w:rsidRPr="002154C0">
        <w:rPr>
          <w:szCs w:val="20"/>
        </w:rPr>
        <w:fldChar w:fldCharType="end"/>
      </w:r>
      <w:r w:rsidR="00676B91" w:rsidRPr="002154C0">
        <w:rPr>
          <w:szCs w:val="20"/>
        </w:rPr>
        <w:t xml:space="preserve">, it was proposed to refer to NR-U in the RRM specifications using </w:t>
      </w:r>
      <w:r w:rsidR="00BC08CB" w:rsidRPr="002154C0">
        <w:rPr>
          <w:szCs w:val="20"/>
        </w:rPr>
        <w:t>the</w:t>
      </w:r>
      <w:r w:rsidR="00676B91" w:rsidRPr="002154C0">
        <w:rPr>
          <w:szCs w:val="20"/>
        </w:rPr>
        <w:t xml:space="preserve"> band </w:t>
      </w:r>
      <w:r w:rsidR="00BC08CB" w:rsidRPr="002154C0">
        <w:rPr>
          <w:szCs w:val="20"/>
        </w:rPr>
        <w:t>group number</w:t>
      </w:r>
      <w:r w:rsidR="00676B91" w:rsidRPr="002154C0">
        <w:rPr>
          <w:szCs w:val="20"/>
        </w:rPr>
        <w:t xml:space="preserve">. The main disadvantage of this proposal is that the unlicensed bands </w:t>
      </w:r>
      <w:r w:rsidR="00BC08CB" w:rsidRPr="002154C0">
        <w:rPr>
          <w:szCs w:val="20"/>
        </w:rPr>
        <w:t xml:space="preserve">frequencies and band naming </w:t>
      </w:r>
      <w:r w:rsidR="00676B91" w:rsidRPr="002154C0">
        <w:rPr>
          <w:szCs w:val="20"/>
        </w:rPr>
        <w:t xml:space="preserve">are not yet fully </w:t>
      </w:r>
      <w:r w:rsidR="00BC08CB" w:rsidRPr="002154C0">
        <w:rPr>
          <w:szCs w:val="20"/>
        </w:rPr>
        <w:t>agreed</w:t>
      </w:r>
      <w:r w:rsidR="00676B91" w:rsidRPr="002154C0">
        <w:rPr>
          <w:szCs w:val="20"/>
        </w:rPr>
        <w:t>, and might change in the future (for example, in later releases, with the inclusion of frequencies</w:t>
      </w:r>
      <w:r>
        <w:rPr>
          <w:szCs w:val="20"/>
        </w:rPr>
        <w:t xml:space="preserve"> above FR-2</w:t>
      </w:r>
      <w:r w:rsidR="005A71DA">
        <w:rPr>
          <w:szCs w:val="20"/>
        </w:rPr>
        <w:t>, and even with the 6GHz band which is still undefined and being discussed</w:t>
      </w:r>
      <w:r w:rsidR="00676B91" w:rsidRPr="002154C0">
        <w:rPr>
          <w:szCs w:val="20"/>
        </w:rPr>
        <w:t>). Therefore, this option wouldn’t be future proof</w:t>
      </w:r>
      <w:r w:rsidR="00BC08CB" w:rsidRPr="002154C0">
        <w:rPr>
          <w:szCs w:val="20"/>
        </w:rPr>
        <w:t xml:space="preserve">. </w:t>
      </w:r>
    </w:p>
    <w:p w14:paraId="2EB2217D" w14:textId="0B07F062" w:rsidR="00D3647B" w:rsidRPr="006C1F67" w:rsidRDefault="00D3647B" w:rsidP="00BC08CB">
      <w:pPr>
        <w:jc w:val="both"/>
        <w:rPr>
          <w:szCs w:val="20"/>
        </w:rPr>
      </w:pPr>
      <w:r>
        <w:rPr>
          <w:szCs w:val="20"/>
        </w:rPr>
        <w:t xml:space="preserve">In our view, the main difference between NR-U and NR </w:t>
      </w:r>
      <w:r w:rsidR="005A71DA">
        <w:rPr>
          <w:szCs w:val="20"/>
        </w:rPr>
        <w:t>is, indeed, the fact that NR-U will operate in unlicensed bands, which requires new access mechanisms and brings uncertainties to some of the procedures in NR Rel 15. Therefore,</w:t>
      </w:r>
      <w:r w:rsidR="006C1F67">
        <w:rPr>
          <w:szCs w:val="20"/>
        </w:rPr>
        <w:t xml:space="preserve"> </w:t>
      </w:r>
      <w:r w:rsidR="005A71DA">
        <w:rPr>
          <w:szCs w:val="20"/>
        </w:rPr>
        <w:t xml:space="preserve">by including the operation in unlicensed bands in the terminology, the specs would be clearer. </w:t>
      </w:r>
      <w:r w:rsidR="00E31689">
        <w:rPr>
          <w:szCs w:val="20"/>
        </w:rPr>
        <w:t>Another option</w:t>
      </w:r>
      <w:r w:rsidR="006C1F67">
        <w:rPr>
          <w:szCs w:val="20"/>
        </w:rPr>
        <w:t xml:space="preserve"> would be to refer to it as NR in </w:t>
      </w:r>
      <w:r w:rsidR="006C1F67">
        <w:rPr>
          <w:i/>
          <w:szCs w:val="20"/>
        </w:rPr>
        <w:t>shared spectrum</w:t>
      </w:r>
      <w:r w:rsidR="006C1F67">
        <w:rPr>
          <w:szCs w:val="20"/>
        </w:rPr>
        <w:t>, which is the approach in TS 37.213</w:t>
      </w:r>
      <w:r w:rsidR="001500E4">
        <w:rPr>
          <w:szCs w:val="20"/>
        </w:rPr>
        <w:fldChar w:fldCharType="begin"/>
      </w:r>
      <w:r w:rsidR="001500E4">
        <w:rPr>
          <w:szCs w:val="20"/>
        </w:rPr>
        <w:instrText xml:space="preserve"> REF _Ref7017896 \r \h </w:instrText>
      </w:r>
      <w:r w:rsidR="001500E4">
        <w:rPr>
          <w:szCs w:val="20"/>
        </w:rPr>
      </w:r>
      <w:r w:rsidR="001500E4">
        <w:rPr>
          <w:szCs w:val="20"/>
        </w:rPr>
        <w:fldChar w:fldCharType="separate"/>
      </w:r>
      <w:r w:rsidR="001500E4">
        <w:rPr>
          <w:szCs w:val="20"/>
        </w:rPr>
        <w:t>[8]</w:t>
      </w:r>
      <w:r w:rsidR="001500E4">
        <w:rPr>
          <w:szCs w:val="20"/>
        </w:rPr>
        <w:fldChar w:fldCharType="end"/>
      </w:r>
      <w:r w:rsidR="006C1F67">
        <w:rPr>
          <w:szCs w:val="20"/>
        </w:rPr>
        <w:t>, where the physical layer procedures for LTE-LAA are specified.</w:t>
      </w:r>
    </w:p>
    <w:p w14:paraId="07214E1E" w14:textId="41E5B26F" w:rsidR="000D6D48" w:rsidRPr="002154C0" w:rsidRDefault="006C1F67" w:rsidP="00BC08CB">
      <w:pPr>
        <w:jc w:val="both"/>
        <w:rPr>
          <w:szCs w:val="20"/>
        </w:rPr>
      </w:pPr>
      <w:r>
        <w:rPr>
          <w:szCs w:val="20"/>
        </w:rPr>
        <w:t>However</w:t>
      </w:r>
      <w:r w:rsidR="00BC08CB" w:rsidRPr="002154C0">
        <w:rPr>
          <w:szCs w:val="20"/>
        </w:rPr>
        <w:t xml:space="preserve">, RAN2 in </w:t>
      </w:r>
      <w:r w:rsidR="00BC08CB" w:rsidRPr="002154C0">
        <w:rPr>
          <w:szCs w:val="20"/>
        </w:rPr>
        <w:fldChar w:fldCharType="begin"/>
      </w:r>
      <w:r w:rsidR="00BC08CB" w:rsidRPr="002154C0">
        <w:rPr>
          <w:szCs w:val="20"/>
        </w:rPr>
        <w:instrText xml:space="preserve"> REF _Ref7423698 \r \h  \* MERGEFORMAT </w:instrText>
      </w:r>
      <w:r w:rsidR="00BC08CB" w:rsidRPr="002154C0">
        <w:rPr>
          <w:szCs w:val="20"/>
        </w:rPr>
      </w:r>
      <w:r w:rsidR="00BC08CB" w:rsidRPr="002154C0">
        <w:rPr>
          <w:szCs w:val="20"/>
        </w:rPr>
        <w:fldChar w:fldCharType="separate"/>
      </w:r>
      <w:r w:rsidR="001500E4">
        <w:rPr>
          <w:szCs w:val="20"/>
        </w:rPr>
        <w:t>[9]</w:t>
      </w:r>
      <w:r w:rsidR="00BC08CB" w:rsidRPr="002154C0">
        <w:rPr>
          <w:szCs w:val="20"/>
        </w:rPr>
        <w:fldChar w:fldCharType="end"/>
      </w:r>
      <w:r w:rsidR="00BC08CB" w:rsidRPr="002154C0">
        <w:rPr>
          <w:szCs w:val="20"/>
        </w:rPr>
        <w:t xml:space="preserve">, has </w:t>
      </w:r>
      <w:r w:rsidR="00D3647B">
        <w:rPr>
          <w:szCs w:val="20"/>
        </w:rPr>
        <w:t xml:space="preserve">already </w:t>
      </w:r>
      <w:r w:rsidR="00BC08CB" w:rsidRPr="002154C0">
        <w:rPr>
          <w:szCs w:val="20"/>
        </w:rPr>
        <w:t xml:space="preserve">referred to NR-U access in TS 38.300 as </w:t>
      </w:r>
      <w:r w:rsidR="00BC08CB" w:rsidRPr="002154C0">
        <w:rPr>
          <w:i/>
          <w:szCs w:val="20"/>
        </w:rPr>
        <w:t>NR-based Access to Unlicensed Spectrum</w:t>
      </w:r>
      <w:r w:rsidR="00BC08CB" w:rsidRPr="002154C0">
        <w:rPr>
          <w:szCs w:val="20"/>
        </w:rPr>
        <w:t xml:space="preserve">. </w:t>
      </w:r>
      <w:r w:rsidR="0030574A" w:rsidRPr="002154C0">
        <w:rPr>
          <w:szCs w:val="20"/>
        </w:rPr>
        <w:t>A similar approach was done in</w:t>
      </w:r>
      <w:r w:rsidR="00522832" w:rsidRPr="002154C0">
        <w:rPr>
          <w:szCs w:val="20"/>
        </w:rPr>
        <w:t xml:space="preserve"> the work item</w:t>
      </w:r>
      <w:r w:rsidR="0030574A" w:rsidRPr="002154C0">
        <w:rPr>
          <w:szCs w:val="20"/>
        </w:rPr>
        <w:t xml:space="preserve"> </w:t>
      </w:r>
      <w:r w:rsidR="0030574A" w:rsidRPr="002154C0">
        <w:rPr>
          <w:szCs w:val="20"/>
        </w:rPr>
        <w:fldChar w:fldCharType="begin"/>
      </w:r>
      <w:r w:rsidR="0030574A" w:rsidRPr="002154C0">
        <w:rPr>
          <w:szCs w:val="20"/>
        </w:rPr>
        <w:instrText xml:space="preserve"> REF _Ref431017336 \r \h </w:instrText>
      </w:r>
      <w:r w:rsidR="00127DE6" w:rsidRPr="002154C0">
        <w:rPr>
          <w:szCs w:val="20"/>
        </w:rPr>
        <w:instrText xml:space="preserve"> \* MERGEFORMAT </w:instrText>
      </w:r>
      <w:r w:rsidR="0030574A" w:rsidRPr="002154C0">
        <w:rPr>
          <w:szCs w:val="20"/>
        </w:rPr>
      </w:r>
      <w:r w:rsidR="0030574A" w:rsidRPr="002154C0">
        <w:rPr>
          <w:szCs w:val="20"/>
        </w:rPr>
        <w:fldChar w:fldCharType="separate"/>
      </w:r>
      <w:r w:rsidR="001500E4">
        <w:rPr>
          <w:szCs w:val="20"/>
        </w:rPr>
        <w:t>[1]</w:t>
      </w:r>
      <w:r w:rsidR="0030574A" w:rsidRPr="002154C0">
        <w:rPr>
          <w:szCs w:val="20"/>
        </w:rPr>
        <w:fldChar w:fldCharType="end"/>
      </w:r>
      <w:r w:rsidR="0030574A" w:rsidRPr="002154C0">
        <w:rPr>
          <w:szCs w:val="20"/>
        </w:rPr>
        <w:t>.</w:t>
      </w:r>
    </w:p>
    <w:p w14:paraId="5E6EA8F6" w14:textId="1C946E6A" w:rsidR="000D6D48" w:rsidRPr="002154C0" w:rsidRDefault="000D6D48" w:rsidP="000D6D48">
      <w:pPr>
        <w:pStyle w:val="RAN4observation0"/>
        <w:rPr>
          <w:sz w:val="20"/>
        </w:rPr>
      </w:pPr>
      <w:r w:rsidRPr="002154C0">
        <w:rPr>
          <w:sz w:val="20"/>
        </w:rPr>
        <w:t xml:space="preserve">RAN 2 refers to NR-U as </w:t>
      </w:r>
      <w:r w:rsidRPr="002154C0">
        <w:rPr>
          <w:i/>
          <w:sz w:val="20"/>
        </w:rPr>
        <w:t>NR-based Access to Unlicensed Spectrum</w:t>
      </w:r>
      <w:r w:rsidRPr="002154C0">
        <w:rPr>
          <w:sz w:val="20"/>
        </w:rPr>
        <w:t>.</w:t>
      </w:r>
    </w:p>
    <w:p w14:paraId="0558F90B" w14:textId="75D420D7" w:rsidR="00676B91" w:rsidRPr="002154C0" w:rsidRDefault="00BC08CB" w:rsidP="00BC08CB">
      <w:pPr>
        <w:jc w:val="both"/>
        <w:rPr>
          <w:szCs w:val="20"/>
        </w:rPr>
      </w:pPr>
      <w:r w:rsidRPr="002154C0">
        <w:rPr>
          <w:szCs w:val="20"/>
        </w:rPr>
        <w:lastRenderedPageBreak/>
        <w:t xml:space="preserve">Therefore, striving for alignment between other working groups, for a future proof solution and for a readable specification, it is proposed to refer to NR-U as </w:t>
      </w:r>
      <w:r w:rsidRPr="002154C0">
        <w:rPr>
          <w:i/>
          <w:szCs w:val="20"/>
        </w:rPr>
        <w:t>NR</w:t>
      </w:r>
      <w:r w:rsidR="00857CB7" w:rsidRPr="002154C0">
        <w:rPr>
          <w:i/>
          <w:szCs w:val="20"/>
        </w:rPr>
        <w:t xml:space="preserve"> in</w:t>
      </w:r>
      <w:r w:rsidR="000D6D48" w:rsidRPr="002154C0">
        <w:rPr>
          <w:i/>
          <w:szCs w:val="20"/>
        </w:rPr>
        <w:t xml:space="preserve"> unlicensed</w:t>
      </w:r>
      <w:r w:rsidR="00857CB7" w:rsidRPr="002154C0">
        <w:rPr>
          <w:i/>
          <w:szCs w:val="20"/>
        </w:rPr>
        <w:t xml:space="preserve"> </w:t>
      </w:r>
      <w:r w:rsidR="0030574A" w:rsidRPr="002154C0">
        <w:rPr>
          <w:i/>
          <w:szCs w:val="20"/>
        </w:rPr>
        <w:t>band</w:t>
      </w:r>
      <w:r w:rsidRPr="002154C0">
        <w:rPr>
          <w:i/>
          <w:szCs w:val="20"/>
        </w:rPr>
        <w:t xml:space="preserve">, </w:t>
      </w:r>
      <w:r w:rsidRPr="002154C0">
        <w:rPr>
          <w:szCs w:val="20"/>
        </w:rPr>
        <w:t>and use the abbreviation NR-U whenever possible</w:t>
      </w:r>
      <w:r w:rsidR="0030574A" w:rsidRPr="002154C0">
        <w:rPr>
          <w:szCs w:val="20"/>
        </w:rPr>
        <w:t xml:space="preserve">, as it was done in </w:t>
      </w:r>
      <w:r w:rsidR="0030574A" w:rsidRPr="002154C0">
        <w:rPr>
          <w:szCs w:val="20"/>
        </w:rPr>
        <w:fldChar w:fldCharType="begin"/>
      </w:r>
      <w:r w:rsidR="0030574A" w:rsidRPr="002154C0">
        <w:rPr>
          <w:szCs w:val="20"/>
        </w:rPr>
        <w:instrText xml:space="preserve"> REF _Ref431017336 \r \h </w:instrText>
      </w:r>
      <w:r w:rsidR="00127DE6" w:rsidRPr="002154C0">
        <w:rPr>
          <w:szCs w:val="20"/>
        </w:rPr>
        <w:instrText xml:space="preserve"> \* MERGEFORMAT </w:instrText>
      </w:r>
      <w:r w:rsidR="0030574A" w:rsidRPr="002154C0">
        <w:rPr>
          <w:szCs w:val="20"/>
        </w:rPr>
      </w:r>
      <w:r w:rsidR="0030574A" w:rsidRPr="002154C0">
        <w:rPr>
          <w:szCs w:val="20"/>
        </w:rPr>
        <w:fldChar w:fldCharType="separate"/>
      </w:r>
      <w:r w:rsidR="001500E4">
        <w:rPr>
          <w:szCs w:val="20"/>
        </w:rPr>
        <w:t>[1]</w:t>
      </w:r>
      <w:r w:rsidR="0030574A" w:rsidRPr="002154C0">
        <w:rPr>
          <w:szCs w:val="20"/>
        </w:rPr>
        <w:fldChar w:fldCharType="end"/>
      </w:r>
      <w:r w:rsidR="0030574A" w:rsidRPr="002154C0">
        <w:rPr>
          <w:szCs w:val="20"/>
        </w:rPr>
        <w:t>.</w:t>
      </w:r>
    </w:p>
    <w:p w14:paraId="6BD64D4D" w14:textId="0E4C766D" w:rsidR="00676B91" w:rsidRPr="002154C0" w:rsidRDefault="000D6D48" w:rsidP="00BB486B">
      <w:pPr>
        <w:pStyle w:val="RAN4proposal"/>
        <w:rPr>
          <w:sz w:val="20"/>
          <w:szCs w:val="20"/>
        </w:rPr>
      </w:pPr>
      <w:r w:rsidRPr="002154C0">
        <w:rPr>
          <w:sz w:val="20"/>
          <w:szCs w:val="20"/>
        </w:rPr>
        <w:t xml:space="preserve">In the RRM specifications, refer to NR-U as </w:t>
      </w:r>
      <w:r w:rsidRPr="002154C0">
        <w:rPr>
          <w:i/>
          <w:sz w:val="20"/>
          <w:szCs w:val="20"/>
        </w:rPr>
        <w:t>NR</w:t>
      </w:r>
      <w:r w:rsidR="00857CB7" w:rsidRPr="002154C0">
        <w:rPr>
          <w:i/>
          <w:sz w:val="20"/>
          <w:szCs w:val="20"/>
        </w:rPr>
        <w:t xml:space="preserve"> in</w:t>
      </w:r>
      <w:r w:rsidRPr="002154C0">
        <w:rPr>
          <w:i/>
          <w:sz w:val="20"/>
          <w:szCs w:val="20"/>
        </w:rPr>
        <w:t xml:space="preserve"> unlicense</w:t>
      </w:r>
      <w:r w:rsidR="00857CB7" w:rsidRPr="002154C0">
        <w:rPr>
          <w:i/>
          <w:sz w:val="20"/>
          <w:szCs w:val="20"/>
        </w:rPr>
        <w:t xml:space="preserve">d </w:t>
      </w:r>
      <w:r w:rsidR="0030574A" w:rsidRPr="002154C0">
        <w:rPr>
          <w:i/>
          <w:sz w:val="20"/>
          <w:szCs w:val="20"/>
        </w:rPr>
        <w:t>band</w:t>
      </w:r>
      <w:r w:rsidR="00857CB7" w:rsidRPr="002154C0">
        <w:rPr>
          <w:i/>
          <w:sz w:val="20"/>
          <w:szCs w:val="20"/>
        </w:rPr>
        <w:t xml:space="preserve"> </w:t>
      </w:r>
      <w:r w:rsidRPr="002154C0">
        <w:rPr>
          <w:sz w:val="20"/>
          <w:szCs w:val="20"/>
        </w:rPr>
        <w:t xml:space="preserve">and use the abbreviation </w:t>
      </w:r>
      <w:r w:rsidRPr="002154C0">
        <w:rPr>
          <w:i/>
          <w:sz w:val="20"/>
          <w:szCs w:val="20"/>
        </w:rPr>
        <w:t>NR-U</w:t>
      </w:r>
      <w:r w:rsidRPr="002154C0">
        <w:rPr>
          <w:sz w:val="20"/>
          <w:szCs w:val="20"/>
        </w:rPr>
        <w:t xml:space="preserve"> whenever possible.</w:t>
      </w:r>
    </w:p>
    <w:p w14:paraId="06E30BB2" w14:textId="5C2B39F0" w:rsidR="00857CB7" w:rsidRPr="002154C0" w:rsidRDefault="00857CB7" w:rsidP="00127DE6">
      <w:pPr>
        <w:pStyle w:val="RAN4proposal"/>
        <w:rPr>
          <w:sz w:val="20"/>
          <w:szCs w:val="20"/>
          <w:lang w:eastAsia="zh-CN"/>
        </w:rPr>
      </w:pPr>
      <w:r w:rsidRPr="002154C0">
        <w:rPr>
          <w:sz w:val="20"/>
          <w:szCs w:val="20"/>
          <w:lang w:eastAsia="zh-CN"/>
        </w:rPr>
        <w:t xml:space="preserve">The formal naming </w:t>
      </w:r>
      <w:r w:rsidR="0030574A" w:rsidRPr="002154C0">
        <w:rPr>
          <w:sz w:val="20"/>
          <w:szCs w:val="20"/>
          <w:lang w:eastAsia="zh-CN"/>
        </w:rPr>
        <w:t>of the</w:t>
      </w:r>
      <w:r w:rsidRPr="002154C0">
        <w:rPr>
          <w:sz w:val="20"/>
          <w:szCs w:val="20"/>
          <w:lang w:eastAsia="zh-CN"/>
        </w:rPr>
        <w:t xml:space="preserve"> scenarios is proposed </w:t>
      </w:r>
      <w:r w:rsidR="009208EB" w:rsidRPr="002154C0">
        <w:rPr>
          <w:sz w:val="20"/>
          <w:szCs w:val="20"/>
          <w:lang w:eastAsia="zh-CN"/>
        </w:rPr>
        <w:t>as follows:</w:t>
      </w:r>
    </w:p>
    <w:p w14:paraId="4F446608" w14:textId="7ABBB428" w:rsidR="00857CB7" w:rsidRPr="002154C0" w:rsidRDefault="00857CB7" w:rsidP="00857CB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  <w:szCs w:val="20"/>
        </w:rPr>
      </w:pPr>
      <w:r w:rsidRPr="002154C0">
        <w:rPr>
          <w:b/>
          <w:bCs/>
          <w:szCs w:val="20"/>
        </w:rPr>
        <w:t xml:space="preserve">Carrier aggregation between NR </w:t>
      </w:r>
      <w:proofErr w:type="spellStart"/>
      <w:r w:rsidRPr="002154C0">
        <w:rPr>
          <w:b/>
          <w:bCs/>
          <w:szCs w:val="20"/>
        </w:rPr>
        <w:t>PCell</w:t>
      </w:r>
      <w:proofErr w:type="spellEnd"/>
      <w:r w:rsidRPr="002154C0">
        <w:rPr>
          <w:b/>
          <w:bCs/>
          <w:szCs w:val="20"/>
        </w:rPr>
        <w:t xml:space="preserve"> </w:t>
      </w:r>
      <w:r w:rsidR="0030574A" w:rsidRPr="002154C0">
        <w:rPr>
          <w:b/>
          <w:bCs/>
          <w:szCs w:val="20"/>
        </w:rPr>
        <w:t xml:space="preserve">in licensed band </w:t>
      </w:r>
      <w:r w:rsidRPr="002154C0">
        <w:rPr>
          <w:b/>
          <w:bCs/>
          <w:szCs w:val="20"/>
        </w:rPr>
        <w:t xml:space="preserve">and </w:t>
      </w:r>
      <w:r w:rsidR="007E2129" w:rsidRPr="002154C0">
        <w:rPr>
          <w:b/>
          <w:bCs/>
          <w:szCs w:val="20"/>
        </w:rPr>
        <w:t xml:space="preserve">NR </w:t>
      </w:r>
      <w:proofErr w:type="spellStart"/>
      <w:r w:rsidR="00934BEC" w:rsidRPr="002154C0">
        <w:rPr>
          <w:b/>
          <w:bCs/>
          <w:szCs w:val="20"/>
        </w:rPr>
        <w:t>SCell</w:t>
      </w:r>
      <w:proofErr w:type="spellEnd"/>
      <w:r w:rsidRPr="002154C0">
        <w:rPr>
          <w:b/>
          <w:bCs/>
          <w:szCs w:val="20"/>
        </w:rPr>
        <w:t>(s)</w:t>
      </w:r>
      <w:r w:rsidR="00934BEC" w:rsidRPr="002154C0">
        <w:rPr>
          <w:b/>
          <w:bCs/>
          <w:szCs w:val="20"/>
        </w:rPr>
        <w:t xml:space="preserve"> in unlicensed </w:t>
      </w:r>
      <w:r w:rsidR="0030574A" w:rsidRPr="002154C0">
        <w:rPr>
          <w:b/>
          <w:bCs/>
          <w:szCs w:val="20"/>
        </w:rPr>
        <w:t>band</w:t>
      </w:r>
    </w:p>
    <w:p w14:paraId="0E0B2DDB" w14:textId="36AACED1" w:rsidR="00857CB7" w:rsidRPr="002154C0" w:rsidRDefault="00857CB7" w:rsidP="00857CB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  <w:szCs w:val="20"/>
        </w:rPr>
      </w:pPr>
      <w:r w:rsidRPr="002154C0">
        <w:rPr>
          <w:b/>
          <w:bCs/>
          <w:szCs w:val="20"/>
        </w:rPr>
        <w:t xml:space="preserve">Dual connectivity between LTE </w:t>
      </w:r>
      <w:proofErr w:type="spellStart"/>
      <w:r w:rsidRPr="002154C0">
        <w:rPr>
          <w:b/>
          <w:bCs/>
          <w:szCs w:val="20"/>
        </w:rPr>
        <w:t>PCell</w:t>
      </w:r>
      <w:proofErr w:type="spellEnd"/>
      <w:r w:rsidR="007E2129" w:rsidRPr="002154C0">
        <w:rPr>
          <w:b/>
          <w:bCs/>
          <w:szCs w:val="20"/>
        </w:rPr>
        <w:t xml:space="preserve"> in licensed </w:t>
      </w:r>
      <w:r w:rsidR="0030574A" w:rsidRPr="002154C0">
        <w:rPr>
          <w:b/>
          <w:bCs/>
          <w:szCs w:val="20"/>
        </w:rPr>
        <w:t xml:space="preserve">band </w:t>
      </w:r>
      <w:r w:rsidRPr="002154C0">
        <w:rPr>
          <w:b/>
          <w:bCs/>
          <w:szCs w:val="20"/>
        </w:rPr>
        <w:t xml:space="preserve">and </w:t>
      </w:r>
      <w:proofErr w:type="spellStart"/>
      <w:r w:rsidRPr="002154C0">
        <w:rPr>
          <w:b/>
          <w:bCs/>
          <w:szCs w:val="20"/>
        </w:rPr>
        <w:t>PSCell</w:t>
      </w:r>
      <w:proofErr w:type="spellEnd"/>
      <w:r w:rsidR="007E2129" w:rsidRPr="002154C0">
        <w:rPr>
          <w:b/>
          <w:bCs/>
          <w:szCs w:val="20"/>
        </w:rPr>
        <w:t xml:space="preserve"> in unlicensed </w:t>
      </w:r>
      <w:r w:rsidR="0030574A" w:rsidRPr="002154C0">
        <w:rPr>
          <w:b/>
          <w:bCs/>
          <w:szCs w:val="20"/>
        </w:rPr>
        <w:t>band</w:t>
      </w:r>
    </w:p>
    <w:p w14:paraId="5DEAE214" w14:textId="41424872" w:rsidR="00857CB7" w:rsidRPr="002154C0" w:rsidRDefault="00857CB7" w:rsidP="00857CB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  <w:szCs w:val="20"/>
        </w:rPr>
      </w:pPr>
      <w:r w:rsidRPr="002154C0">
        <w:rPr>
          <w:b/>
          <w:bCs/>
          <w:szCs w:val="20"/>
        </w:rPr>
        <w:t xml:space="preserve">Stand-alone NR in unlicensed </w:t>
      </w:r>
      <w:r w:rsidR="0030574A" w:rsidRPr="002154C0">
        <w:rPr>
          <w:b/>
          <w:bCs/>
          <w:szCs w:val="20"/>
        </w:rPr>
        <w:t>band</w:t>
      </w:r>
    </w:p>
    <w:p w14:paraId="16F009F6" w14:textId="0682FAE1" w:rsidR="00857CB7" w:rsidRPr="002154C0" w:rsidRDefault="00857CB7" w:rsidP="00857CB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  <w:szCs w:val="20"/>
        </w:rPr>
      </w:pPr>
      <w:r w:rsidRPr="002154C0">
        <w:rPr>
          <w:b/>
          <w:bCs/>
          <w:szCs w:val="20"/>
        </w:rPr>
        <w:t xml:space="preserve">Stand-alone NR cell in unlicensed </w:t>
      </w:r>
      <w:r w:rsidR="0030574A" w:rsidRPr="002154C0">
        <w:rPr>
          <w:b/>
          <w:bCs/>
          <w:szCs w:val="20"/>
        </w:rPr>
        <w:t xml:space="preserve">band </w:t>
      </w:r>
      <w:r w:rsidRPr="002154C0">
        <w:rPr>
          <w:b/>
          <w:bCs/>
          <w:szCs w:val="20"/>
        </w:rPr>
        <w:t xml:space="preserve">with UL in licensed </w:t>
      </w:r>
      <w:r w:rsidR="0030574A" w:rsidRPr="002154C0">
        <w:rPr>
          <w:b/>
          <w:bCs/>
          <w:szCs w:val="20"/>
        </w:rPr>
        <w:t>band</w:t>
      </w:r>
    </w:p>
    <w:p w14:paraId="4D1C2813" w14:textId="2F516C39" w:rsidR="006F7D95" w:rsidRPr="002154C0" w:rsidRDefault="00857CB7" w:rsidP="006F7D95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0"/>
        </w:rPr>
      </w:pPr>
      <w:r w:rsidRPr="002154C0">
        <w:rPr>
          <w:b/>
          <w:bCs/>
          <w:szCs w:val="20"/>
        </w:rPr>
        <w:t xml:space="preserve">Dual connectivity between NR </w:t>
      </w:r>
      <w:r w:rsidR="007E2129" w:rsidRPr="002154C0">
        <w:rPr>
          <w:b/>
          <w:bCs/>
          <w:szCs w:val="20"/>
        </w:rPr>
        <w:t xml:space="preserve">in licensed </w:t>
      </w:r>
      <w:r w:rsidR="0030574A" w:rsidRPr="002154C0">
        <w:rPr>
          <w:b/>
          <w:bCs/>
          <w:szCs w:val="20"/>
        </w:rPr>
        <w:t xml:space="preserve">band </w:t>
      </w:r>
      <w:r w:rsidRPr="002154C0">
        <w:rPr>
          <w:b/>
          <w:bCs/>
          <w:szCs w:val="20"/>
        </w:rPr>
        <w:t xml:space="preserve">and NR in unlicensed </w:t>
      </w:r>
      <w:r w:rsidR="0030574A" w:rsidRPr="002154C0">
        <w:rPr>
          <w:b/>
          <w:bCs/>
          <w:szCs w:val="20"/>
        </w:rPr>
        <w:t>band</w:t>
      </w:r>
    </w:p>
    <w:p w14:paraId="514CB2F0" w14:textId="77777777" w:rsidR="007656CC" w:rsidRPr="002154C0" w:rsidRDefault="007656CC" w:rsidP="007656CC">
      <w:pPr>
        <w:pStyle w:val="RAN4proposal"/>
        <w:numPr>
          <w:ilvl w:val="0"/>
          <w:numId w:val="0"/>
        </w:numPr>
        <w:rPr>
          <w:b w:val="0"/>
          <w:iCs w:val="0"/>
          <w:sz w:val="20"/>
          <w:szCs w:val="20"/>
        </w:rPr>
      </w:pPr>
    </w:p>
    <w:p w14:paraId="4CF5789B" w14:textId="2C619E7D" w:rsidR="00857CB7" w:rsidRDefault="006F7D95" w:rsidP="007C00C7">
      <w:pPr>
        <w:pStyle w:val="RAN4proposal"/>
        <w:rPr>
          <w:sz w:val="20"/>
          <w:szCs w:val="20"/>
        </w:rPr>
      </w:pPr>
      <w:r w:rsidRPr="002154C0">
        <w:rPr>
          <w:sz w:val="20"/>
          <w:szCs w:val="20"/>
        </w:rPr>
        <w:t xml:space="preserve">In order to be aligned with the NR Rel-15 specs, </w:t>
      </w:r>
      <w:r w:rsidR="007656CC" w:rsidRPr="002154C0">
        <w:rPr>
          <w:sz w:val="20"/>
          <w:szCs w:val="20"/>
        </w:rPr>
        <w:t>we propose that the shortened names of the scenarios are used in the Sections names in TS 38.133 and TS 36.133</w:t>
      </w:r>
      <w:r w:rsidR="007C00C7" w:rsidRPr="002154C0">
        <w:rPr>
          <w:sz w:val="20"/>
          <w:szCs w:val="20"/>
        </w:rPr>
        <w:t>.</w:t>
      </w:r>
    </w:p>
    <w:p w14:paraId="3809E96B" w14:textId="52386C60" w:rsidR="005A71DA" w:rsidRDefault="005A71DA" w:rsidP="005A71DA">
      <w:r>
        <w:t>Additionally, we propose to open the discussion with other working groups.</w:t>
      </w:r>
    </w:p>
    <w:p w14:paraId="59A28CB8" w14:textId="6DCCBACC" w:rsidR="005A71DA" w:rsidRPr="005A71DA" w:rsidRDefault="005A71DA" w:rsidP="00682D32">
      <w:pPr>
        <w:pStyle w:val="RAN4proposal"/>
      </w:pPr>
      <w:r w:rsidRPr="005A71DA">
        <w:rPr>
          <w:sz w:val="20"/>
          <w:szCs w:val="20"/>
        </w:rPr>
        <w:t>Send a LS to RAN1 to open the discussions on this matter.</w:t>
      </w:r>
    </w:p>
    <w:p w14:paraId="67737BA3" w14:textId="491146A4" w:rsidR="00CD7492" w:rsidRPr="00127DE6" w:rsidRDefault="00BB486B" w:rsidP="002051FF">
      <w:pPr>
        <w:pStyle w:val="RAN4H1"/>
        <w:jc w:val="both"/>
      </w:pPr>
      <w:r w:rsidRPr="00127DE6">
        <w:t>4</w:t>
      </w:r>
      <w:r w:rsidR="00CD7492" w:rsidRPr="00127DE6">
        <w:tab/>
        <w:t>Conclusion</w:t>
      </w:r>
    </w:p>
    <w:p w14:paraId="75B39704" w14:textId="356C014B" w:rsidR="00D041D9" w:rsidRDefault="00D041D9" w:rsidP="00D041D9">
      <w:pPr>
        <w:pStyle w:val="RAN4Observation"/>
        <w:numPr>
          <w:ilvl w:val="0"/>
          <w:numId w:val="32"/>
        </w:numPr>
      </w:pPr>
      <w:r w:rsidRPr="00D041D9">
        <w:t xml:space="preserve">RAN 2 refers to NR-U as </w:t>
      </w:r>
      <w:r w:rsidRPr="00D041D9">
        <w:rPr>
          <w:i/>
        </w:rPr>
        <w:t>NR-based Access to Unlicensed Spectrum</w:t>
      </w:r>
      <w:r w:rsidRPr="00D041D9">
        <w:t>.</w:t>
      </w:r>
    </w:p>
    <w:p w14:paraId="73D2A104" w14:textId="77777777" w:rsidR="00D041D9" w:rsidRPr="00D041D9" w:rsidRDefault="00D041D9" w:rsidP="00D041D9">
      <w:pPr>
        <w:pStyle w:val="RAN4proposal"/>
        <w:numPr>
          <w:ilvl w:val="0"/>
          <w:numId w:val="33"/>
        </w:numPr>
        <w:rPr>
          <w:sz w:val="20"/>
          <w:szCs w:val="20"/>
        </w:rPr>
      </w:pPr>
      <w:r w:rsidRPr="00D041D9">
        <w:rPr>
          <w:sz w:val="20"/>
          <w:szCs w:val="20"/>
        </w:rPr>
        <w:t>whenever possible.</w:t>
      </w:r>
    </w:p>
    <w:p w14:paraId="72780199" w14:textId="77777777" w:rsidR="00D041D9" w:rsidRPr="002154C0" w:rsidRDefault="00D041D9" w:rsidP="00D041D9">
      <w:pPr>
        <w:pStyle w:val="RAN4proposal"/>
        <w:rPr>
          <w:sz w:val="20"/>
          <w:szCs w:val="20"/>
          <w:lang w:eastAsia="zh-CN"/>
        </w:rPr>
      </w:pPr>
      <w:r w:rsidRPr="002154C0">
        <w:rPr>
          <w:sz w:val="20"/>
          <w:szCs w:val="20"/>
          <w:lang w:eastAsia="zh-CN"/>
        </w:rPr>
        <w:t>The formal naming of the scenarios is proposed as follows:</w:t>
      </w:r>
    </w:p>
    <w:p w14:paraId="00E24133" w14:textId="77777777" w:rsidR="00D041D9" w:rsidRPr="002154C0" w:rsidRDefault="00D041D9" w:rsidP="00D041D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  <w:szCs w:val="20"/>
        </w:rPr>
      </w:pPr>
      <w:r w:rsidRPr="002154C0">
        <w:rPr>
          <w:b/>
          <w:bCs/>
          <w:szCs w:val="20"/>
        </w:rPr>
        <w:t xml:space="preserve">Carrier aggregation between NR </w:t>
      </w:r>
      <w:proofErr w:type="spellStart"/>
      <w:r w:rsidRPr="002154C0">
        <w:rPr>
          <w:b/>
          <w:bCs/>
          <w:szCs w:val="20"/>
        </w:rPr>
        <w:t>PCell</w:t>
      </w:r>
      <w:proofErr w:type="spellEnd"/>
      <w:r w:rsidRPr="002154C0">
        <w:rPr>
          <w:b/>
          <w:bCs/>
          <w:szCs w:val="20"/>
        </w:rPr>
        <w:t xml:space="preserve"> in licensed band and NR </w:t>
      </w:r>
      <w:proofErr w:type="spellStart"/>
      <w:r w:rsidRPr="002154C0">
        <w:rPr>
          <w:b/>
          <w:bCs/>
          <w:szCs w:val="20"/>
        </w:rPr>
        <w:t>SCell</w:t>
      </w:r>
      <w:proofErr w:type="spellEnd"/>
      <w:r w:rsidRPr="002154C0">
        <w:rPr>
          <w:b/>
          <w:bCs/>
          <w:szCs w:val="20"/>
        </w:rPr>
        <w:t>(s) in unlicensed band</w:t>
      </w:r>
    </w:p>
    <w:p w14:paraId="02EBE353" w14:textId="77777777" w:rsidR="00D041D9" w:rsidRPr="002154C0" w:rsidRDefault="00D041D9" w:rsidP="00D041D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  <w:szCs w:val="20"/>
        </w:rPr>
      </w:pPr>
      <w:r w:rsidRPr="002154C0">
        <w:rPr>
          <w:b/>
          <w:bCs/>
          <w:szCs w:val="20"/>
        </w:rPr>
        <w:t xml:space="preserve">Dual connectivity between LTE </w:t>
      </w:r>
      <w:proofErr w:type="spellStart"/>
      <w:r w:rsidRPr="002154C0">
        <w:rPr>
          <w:b/>
          <w:bCs/>
          <w:szCs w:val="20"/>
        </w:rPr>
        <w:t>PCell</w:t>
      </w:r>
      <w:proofErr w:type="spellEnd"/>
      <w:r w:rsidRPr="002154C0">
        <w:rPr>
          <w:b/>
          <w:bCs/>
          <w:szCs w:val="20"/>
        </w:rPr>
        <w:t xml:space="preserve"> in licensed band and </w:t>
      </w:r>
      <w:proofErr w:type="spellStart"/>
      <w:r w:rsidRPr="002154C0">
        <w:rPr>
          <w:b/>
          <w:bCs/>
          <w:szCs w:val="20"/>
        </w:rPr>
        <w:t>PSCell</w:t>
      </w:r>
      <w:proofErr w:type="spellEnd"/>
      <w:r w:rsidRPr="002154C0">
        <w:rPr>
          <w:b/>
          <w:bCs/>
          <w:szCs w:val="20"/>
        </w:rPr>
        <w:t xml:space="preserve"> in unlicensed band</w:t>
      </w:r>
    </w:p>
    <w:p w14:paraId="2E7C978F" w14:textId="77777777" w:rsidR="00D041D9" w:rsidRPr="002154C0" w:rsidRDefault="00D041D9" w:rsidP="00D041D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  <w:szCs w:val="20"/>
        </w:rPr>
      </w:pPr>
      <w:r w:rsidRPr="002154C0">
        <w:rPr>
          <w:b/>
          <w:bCs/>
          <w:szCs w:val="20"/>
        </w:rPr>
        <w:t>Stand-alone NR in unlicensed band</w:t>
      </w:r>
    </w:p>
    <w:p w14:paraId="7CCF14F5" w14:textId="77777777" w:rsidR="00D041D9" w:rsidRPr="002154C0" w:rsidRDefault="00D041D9" w:rsidP="00D041D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  <w:szCs w:val="20"/>
        </w:rPr>
      </w:pPr>
      <w:r w:rsidRPr="002154C0">
        <w:rPr>
          <w:b/>
          <w:bCs/>
          <w:szCs w:val="20"/>
        </w:rPr>
        <w:t>Stand-alone NR cell in unlicensed band with UL in licensed band</w:t>
      </w:r>
    </w:p>
    <w:p w14:paraId="2F6401EA" w14:textId="77777777" w:rsidR="00D041D9" w:rsidRPr="002154C0" w:rsidRDefault="00D041D9" w:rsidP="00D041D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0"/>
        </w:rPr>
      </w:pPr>
      <w:r w:rsidRPr="002154C0">
        <w:rPr>
          <w:b/>
          <w:bCs/>
          <w:szCs w:val="20"/>
        </w:rPr>
        <w:t>Dual connectivity between NR in licensed band and NR in unlicensed band</w:t>
      </w:r>
    </w:p>
    <w:p w14:paraId="2AAA3677" w14:textId="77777777" w:rsidR="00D041D9" w:rsidRPr="002154C0" w:rsidRDefault="00D041D9" w:rsidP="00D041D9">
      <w:pPr>
        <w:pStyle w:val="RAN4proposal"/>
        <w:numPr>
          <w:ilvl w:val="0"/>
          <w:numId w:val="0"/>
        </w:numPr>
        <w:rPr>
          <w:b w:val="0"/>
          <w:iCs w:val="0"/>
          <w:sz w:val="20"/>
          <w:szCs w:val="20"/>
        </w:rPr>
      </w:pPr>
    </w:p>
    <w:p w14:paraId="5EF83F82" w14:textId="77777777" w:rsidR="00D041D9" w:rsidRDefault="00D041D9" w:rsidP="00D041D9">
      <w:pPr>
        <w:pStyle w:val="RAN4proposal"/>
        <w:rPr>
          <w:sz w:val="20"/>
          <w:szCs w:val="20"/>
        </w:rPr>
      </w:pPr>
      <w:r w:rsidRPr="002154C0">
        <w:rPr>
          <w:sz w:val="20"/>
          <w:szCs w:val="20"/>
        </w:rPr>
        <w:t>In order to be aligned with the NR Rel-15 specs, we propose that the shortened names of the scenarios are used in the Sections names in TS 38.133 and TS 36.133.</w:t>
      </w:r>
    </w:p>
    <w:p w14:paraId="699A0449" w14:textId="77777777" w:rsidR="00D041D9" w:rsidRPr="005A71DA" w:rsidRDefault="00D041D9" w:rsidP="00D041D9">
      <w:pPr>
        <w:pStyle w:val="RAN4proposal"/>
      </w:pPr>
      <w:r w:rsidRPr="005A71DA">
        <w:rPr>
          <w:sz w:val="20"/>
          <w:szCs w:val="20"/>
        </w:rPr>
        <w:t>Send a LS to RAN1 to open the discussions on this matter.</w:t>
      </w:r>
    </w:p>
    <w:p w14:paraId="441F2068" w14:textId="77777777" w:rsidR="003B659E" w:rsidRPr="00127DE6" w:rsidRDefault="003B659E" w:rsidP="002051FF">
      <w:pPr>
        <w:pStyle w:val="RAN4H1"/>
        <w:jc w:val="both"/>
      </w:pPr>
      <w:bookmarkStart w:id="4" w:name="_GoBack"/>
      <w:bookmarkEnd w:id="4"/>
      <w:r w:rsidRPr="00127DE6">
        <w:t>References</w:t>
      </w:r>
    </w:p>
    <w:p w14:paraId="792B21C0" w14:textId="77777777" w:rsidR="001109F8" w:rsidRPr="00127DE6" w:rsidRDefault="001109F8" w:rsidP="002051F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5" w:name="_Ref431017336"/>
      <w:r w:rsidRPr="00127DE6">
        <w:rPr>
          <w:rFonts w:eastAsia="Times New Roman" w:cs="Times New Roman"/>
          <w:szCs w:val="20"/>
          <w:lang w:val="en-GB"/>
        </w:rPr>
        <w:t>RP-182878</w:t>
      </w:r>
      <w:r w:rsidR="00FC1E8B" w:rsidRPr="00127DE6">
        <w:rPr>
          <w:rFonts w:eastAsia="Times New Roman" w:cs="Times New Roman"/>
          <w:szCs w:val="20"/>
          <w:lang w:val="en-GB"/>
        </w:rPr>
        <w:t>;</w:t>
      </w:r>
      <w:r w:rsidRPr="00127DE6">
        <w:rPr>
          <w:rFonts w:eastAsia="Times New Roman" w:cs="Times New Roman"/>
          <w:szCs w:val="20"/>
          <w:lang w:val="en-GB"/>
        </w:rPr>
        <w:t xml:space="preserve"> </w:t>
      </w:r>
      <w:r w:rsidR="00FC1E8B" w:rsidRPr="00127DE6">
        <w:rPr>
          <w:rFonts w:eastAsia="Times New Roman" w:cs="Times New Roman"/>
          <w:szCs w:val="20"/>
          <w:lang w:val="en-GB"/>
        </w:rPr>
        <w:t>“</w:t>
      </w:r>
      <w:r w:rsidRPr="00127DE6">
        <w:rPr>
          <w:rFonts w:eastAsia="Times New Roman" w:cs="Times New Roman"/>
          <w:szCs w:val="20"/>
          <w:lang w:val="en-GB"/>
        </w:rPr>
        <w:t>New WID on NR-based Access to Unlicensed Spectrum</w:t>
      </w:r>
      <w:r w:rsidR="00FC1E8B" w:rsidRPr="00127DE6">
        <w:rPr>
          <w:rFonts w:eastAsia="Times New Roman" w:cs="Times New Roman"/>
          <w:szCs w:val="20"/>
          <w:lang w:val="en-GB"/>
        </w:rPr>
        <w:t>”</w:t>
      </w:r>
      <w:r w:rsidRPr="00127DE6">
        <w:rPr>
          <w:rFonts w:eastAsia="Times New Roman" w:cs="Times New Roman"/>
          <w:szCs w:val="20"/>
          <w:lang w:val="en-GB"/>
        </w:rPr>
        <w:t>, Qualcomm Inc.</w:t>
      </w:r>
      <w:bookmarkEnd w:id="5"/>
    </w:p>
    <w:p w14:paraId="06BAB924" w14:textId="194072CE" w:rsidR="00504EE9" w:rsidRDefault="001109F8" w:rsidP="002051F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6" w:name="_Ref2843888"/>
      <w:r w:rsidRPr="00127DE6">
        <w:rPr>
          <w:lang w:val="en-GB"/>
        </w:rPr>
        <w:t>3GPP TR-38.889 v.1.0.0, “Study on NR-based Access to Unlicensed Spectrum”.</w:t>
      </w:r>
      <w:bookmarkEnd w:id="6"/>
      <w:r w:rsidRPr="00127DE6">
        <w:rPr>
          <w:lang w:val="en-GB"/>
        </w:rPr>
        <w:t xml:space="preserve"> </w:t>
      </w:r>
    </w:p>
    <w:p w14:paraId="6DA9F3E1" w14:textId="5E997FBC" w:rsidR="000B615D" w:rsidRDefault="000B615D" w:rsidP="000B615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7" w:name="_Ref7084905"/>
      <w:r w:rsidRPr="00127DE6">
        <w:rPr>
          <w:lang w:val="en-GB"/>
        </w:rPr>
        <w:t>R4-1904825, WF on RRM requirements in NR-U, Ericsson, Nokia.</w:t>
      </w:r>
      <w:bookmarkEnd w:id="7"/>
    </w:p>
    <w:p w14:paraId="25BF8071" w14:textId="77777777" w:rsidR="000B615D" w:rsidRPr="00127DE6" w:rsidRDefault="000B615D" w:rsidP="000B615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8" w:name="_Ref7010562"/>
      <w:r w:rsidRPr="00127DE6">
        <w:rPr>
          <w:lang w:eastAsia="zh-CN"/>
        </w:rPr>
        <w:t xml:space="preserve">3GPP TS 36.133 E-UTRA; </w:t>
      </w:r>
      <w:r w:rsidRPr="00127DE6">
        <w:rPr>
          <w:rFonts w:cs="v4.2.0"/>
        </w:rPr>
        <w:t>Requirements for support of radio resource management.</w:t>
      </w:r>
      <w:bookmarkEnd w:id="8"/>
    </w:p>
    <w:p w14:paraId="41C63C3E" w14:textId="408E7493" w:rsidR="000B615D" w:rsidRPr="000B615D" w:rsidRDefault="000B615D" w:rsidP="000B615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9" w:name="_Ref7010585"/>
      <w:r w:rsidRPr="00127DE6">
        <w:rPr>
          <w:lang w:eastAsia="zh-CN"/>
        </w:rPr>
        <w:t xml:space="preserve">3GPP TS 38.133 NR; </w:t>
      </w:r>
      <w:r w:rsidRPr="00127DE6">
        <w:rPr>
          <w:rFonts w:cs="v4.2.0"/>
        </w:rPr>
        <w:t>Requirements for support of radio resource management.</w:t>
      </w:r>
      <w:bookmarkEnd w:id="9"/>
    </w:p>
    <w:p w14:paraId="22F96C39" w14:textId="12FFBCC8" w:rsidR="000B615D" w:rsidRDefault="000B615D" w:rsidP="000B615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0" w:name="_Ref16598457"/>
      <w:r w:rsidRPr="00075081">
        <w:rPr>
          <w:lang w:val="en-GB"/>
        </w:rPr>
        <w:t>R4-1906714, Discussion on TS 38.133 and TS 36.133 specification structures for NR-U, Nokia, Nokia Shanghai Bell.</w:t>
      </w:r>
      <w:bookmarkEnd w:id="10"/>
    </w:p>
    <w:p w14:paraId="77FA010C" w14:textId="620BEE4C" w:rsidR="000B615D" w:rsidRPr="000B615D" w:rsidRDefault="000B615D" w:rsidP="000B615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1" w:name="_Ref7009734"/>
      <w:r w:rsidRPr="00127DE6">
        <w:t>R4-</w:t>
      </w:r>
      <w:proofErr w:type="gramStart"/>
      <w:r w:rsidRPr="00127DE6">
        <w:t>1904156,  RRM</w:t>
      </w:r>
      <w:proofErr w:type="gramEnd"/>
      <w:r w:rsidRPr="00127DE6">
        <w:t xml:space="preserve"> specification structure for NR unlicensed, Ericsson.</w:t>
      </w:r>
      <w:bookmarkEnd w:id="11"/>
    </w:p>
    <w:p w14:paraId="4F9BFDD7" w14:textId="5E8543DA" w:rsidR="00780D36" w:rsidRPr="001500E4" w:rsidRDefault="0055059D" w:rsidP="001500E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2" w:name="_Ref7017896"/>
      <w:bookmarkStart w:id="13" w:name="_Ref7008376"/>
      <w:r w:rsidRPr="00127DE6">
        <w:rPr>
          <w:lang w:val="en-GB"/>
        </w:rPr>
        <w:t>3GPP TS 37.213 Physical Layer Procedures for shared spectrum access.</w:t>
      </w:r>
      <w:bookmarkEnd w:id="12"/>
      <w:bookmarkEnd w:id="13"/>
    </w:p>
    <w:p w14:paraId="2E65FA7F" w14:textId="23DB9226" w:rsidR="00504EE9" w:rsidRDefault="00676B91" w:rsidP="007C287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4" w:name="_Ref7423698"/>
      <w:r w:rsidRPr="00127DE6">
        <w:rPr>
          <w:lang w:val="en-GB"/>
        </w:rPr>
        <w:t>R2-1905106, Running CR for NR-based Access to Unlicensed Spectrum</w:t>
      </w:r>
      <w:bookmarkEnd w:id="14"/>
    </w:p>
    <w:p w14:paraId="1947A85D" w14:textId="77777777" w:rsidR="00687FA0" w:rsidRPr="003B659E" w:rsidRDefault="00687FA0" w:rsidP="002051FF">
      <w:pPr>
        <w:ind w:right="-22"/>
        <w:jc w:val="both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7FC6F" w14:textId="77777777" w:rsidR="002378DF" w:rsidRDefault="002378DF" w:rsidP="00001C9B">
      <w:pPr>
        <w:spacing w:after="0" w:line="240" w:lineRule="auto"/>
      </w:pPr>
      <w:r>
        <w:separator/>
      </w:r>
    </w:p>
  </w:endnote>
  <w:endnote w:type="continuationSeparator" w:id="0">
    <w:p w14:paraId="6D992500" w14:textId="77777777" w:rsidR="002378DF" w:rsidRDefault="002378D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D0D47E" w14:textId="77777777" w:rsidR="002378DF" w:rsidRDefault="002378DF" w:rsidP="00001C9B">
      <w:pPr>
        <w:spacing w:after="0" w:line="240" w:lineRule="auto"/>
      </w:pPr>
      <w:r>
        <w:separator/>
      </w:r>
    </w:p>
  </w:footnote>
  <w:footnote w:type="continuationSeparator" w:id="0">
    <w:p w14:paraId="44632AA3" w14:textId="77777777" w:rsidR="002378DF" w:rsidRDefault="002378D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A3DAB"/>
    <w:multiLevelType w:val="hybridMultilevel"/>
    <w:tmpl w:val="EE70FAEC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DD11F1"/>
    <w:multiLevelType w:val="hybridMultilevel"/>
    <w:tmpl w:val="6E6480F8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FC495D"/>
    <w:multiLevelType w:val="hybridMultilevel"/>
    <w:tmpl w:val="7FD463A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118F0"/>
    <w:multiLevelType w:val="hybridMultilevel"/>
    <w:tmpl w:val="D3D04A44"/>
    <w:lvl w:ilvl="0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D9D5665"/>
    <w:multiLevelType w:val="hybridMultilevel"/>
    <w:tmpl w:val="55A86B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15BED"/>
    <w:multiLevelType w:val="hybridMultilevel"/>
    <w:tmpl w:val="F5B4BC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C90914"/>
    <w:multiLevelType w:val="hybridMultilevel"/>
    <w:tmpl w:val="0038BA1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41180860"/>
    <w:multiLevelType w:val="hybridMultilevel"/>
    <w:tmpl w:val="0CA2E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9E362D"/>
    <w:multiLevelType w:val="hybridMultilevel"/>
    <w:tmpl w:val="460A6362"/>
    <w:lvl w:ilvl="0" w:tplc="04060017">
      <w:start w:val="1"/>
      <w:numFmt w:val="lowerLetter"/>
      <w:lvlText w:val="%1)"/>
      <w:lvlJc w:val="left"/>
      <w:pPr>
        <w:ind w:left="1080" w:hanging="360"/>
      </w:pPr>
    </w:lvl>
    <w:lvl w:ilvl="1" w:tplc="04060019" w:tentative="1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0" w15:restartNumberingAfterBreak="0">
    <w:nsid w:val="707B66DB"/>
    <w:multiLevelType w:val="hybridMultilevel"/>
    <w:tmpl w:val="3A3440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0304F2"/>
    <w:multiLevelType w:val="hybridMultilevel"/>
    <w:tmpl w:val="B8006A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D17C5"/>
    <w:multiLevelType w:val="hybridMultilevel"/>
    <w:tmpl w:val="F61C4664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8"/>
  </w:num>
  <w:num w:numId="3">
    <w:abstractNumId w:val="15"/>
  </w:num>
  <w:num w:numId="4">
    <w:abstractNumId w:val="7"/>
  </w:num>
  <w:num w:numId="5">
    <w:abstractNumId w:val="18"/>
  </w:num>
  <w:num w:numId="6">
    <w:abstractNumId w:val="13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3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10"/>
  </w:num>
  <w:num w:numId="16">
    <w:abstractNumId w:val="6"/>
  </w:num>
  <w:num w:numId="17">
    <w:abstractNumId w:val="4"/>
  </w:num>
  <w:num w:numId="18">
    <w:abstractNumId w:val="19"/>
  </w:num>
  <w:num w:numId="19">
    <w:abstractNumId w:val="11"/>
  </w:num>
  <w:num w:numId="20">
    <w:abstractNumId w:val="9"/>
  </w:num>
  <w:num w:numId="21">
    <w:abstractNumId w:val="19"/>
  </w:num>
  <w:num w:numId="22">
    <w:abstractNumId w:val="17"/>
  </w:num>
  <w:num w:numId="23">
    <w:abstractNumId w:val="21"/>
  </w:num>
  <w:num w:numId="24">
    <w:abstractNumId w:val="12"/>
  </w:num>
  <w:num w:numId="25">
    <w:abstractNumId w:val="5"/>
  </w:num>
  <w:num w:numId="26">
    <w:abstractNumId w:val="3"/>
  </w:num>
  <w:num w:numId="27">
    <w:abstractNumId w:val="0"/>
  </w:num>
  <w:num w:numId="28">
    <w:abstractNumId w:val="16"/>
  </w:num>
  <w:num w:numId="29">
    <w:abstractNumId w:val="22"/>
  </w:num>
  <w:num w:numId="30">
    <w:abstractNumId w:val="2"/>
  </w:num>
  <w:num w:numId="31">
    <w:abstractNumId w:val="20"/>
  </w:num>
  <w:num w:numId="32">
    <w:abstractNumId w:val="13"/>
    <w:lvlOverride w:ilvl="0">
      <w:startOverride w:val="1"/>
    </w:lvlOverride>
  </w:num>
  <w:num w:numId="33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A7BF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B68AD35"/>
  <w15:chartTrackingRefBased/>
  <w15:docId w15:val="{87C23420-1586-486A-8AF5-BAAE5AD03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35F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08612A"/>
    <w:rPr>
      <w:lang w:val="en-US"/>
    </w:rPr>
  </w:style>
  <w:style w:type="paragraph" w:customStyle="1" w:styleId="RAN4H1">
    <w:name w:val="RAN4 H1"/>
    <w:basedOn w:val="Normal"/>
    <w:link w:val="RAN4H1Char"/>
    <w:qFormat/>
    <w:rsid w:val="000861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08612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08612A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D3E70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D3E70"/>
    <w:rPr>
      <w:rFonts w:ascii="Times New Roman" w:hAnsi="Times New Roman"/>
      <w:b/>
      <w:i w:val="0"/>
      <w:iCs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0D3E70"/>
    <w:pPr>
      <w:ind w:left="0" w:firstLine="0"/>
    </w:pPr>
    <w:rPr>
      <w:sz w:val="22"/>
    </w:rPr>
  </w:style>
  <w:style w:type="character" w:customStyle="1" w:styleId="RAN4observationChar0">
    <w:name w:val="RAN4 observation Char"/>
    <w:basedOn w:val="RAN4ObservationChar"/>
    <w:link w:val="RAN4observation0"/>
    <w:rsid w:val="000D3E70"/>
    <w:rPr>
      <w:rFonts w:ascii="Times New Roman" w:eastAsia="Calibri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B6036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B6036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35F7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Doc-text2Char">
    <w:name w:val="Doc-text2 Char"/>
    <w:link w:val="Doc-text2"/>
    <w:locked/>
    <w:rsid w:val="00C07FAE"/>
    <w:rPr>
      <w:rFonts w:ascii="Arial" w:eastAsia="Times New Roman" w:hAnsi="Arial" w:cs="Arial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C07FAE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2"/>
      <w:lang w:val="x-none" w:eastAsia="x-none"/>
    </w:rPr>
  </w:style>
  <w:style w:type="paragraph" w:styleId="BodyText">
    <w:name w:val="Body Text"/>
    <w:basedOn w:val="Normal"/>
    <w:link w:val="BodyTextChar"/>
    <w:semiHidden/>
    <w:unhideWhenUsed/>
    <w:rsid w:val="00124459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character" w:customStyle="1" w:styleId="BodyTextChar">
    <w:name w:val="Body Text Char"/>
    <w:basedOn w:val="DefaultParagraphFont"/>
    <w:link w:val="BodyText"/>
    <w:semiHidden/>
    <w:rsid w:val="00124459"/>
    <w:rPr>
      <w:rFonts w:ascii="Arial" w:hAnsi="Arial"/>
      <w:lang w:val="da-DK" w:eastAsia="zh-CN"/>
    </w:rPr>
  </w:style>
  <w:style w:type="paragraph" w:customStyle="1" w:styleId="Agreement">
    <w:name w:val="Agreement"/>
    <w:basedOn w:val="Normal"/>
    <w:next w:val="Doc-text2"/>
    <w:rsid w:val="00B72BC9"/>
    <w:pPr>
      <w:numPr>
        <w:numId w:val="18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L">
    <w:name w:val="TAL"/>
    <w:basedOn w:val="Normal"/>
    <w:link w:val="TALChar"/>
    <w:rsid w:val="00894F68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locked/>
    <w:rsid w:val="00894F6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uiPriority w:val="99"/>
    <w:rsid w:val="00162FA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162FA0"/>
    <w:pPr>
      <w:ind w:left="566" w:hanging="283"/>
      <w:contextualSpacing/>
    </w:pPr>
  </w:style>
  <w:style w:type="paragraph" w:customStyle="1" w:styleId="EmailDiscussion">
    <w:name w:val="EmailDiscussion"/>
    <w:basedOn w:val="Normal"/>
    <w:next w:val="Normal"/>
    <w:link w:val="EmailDiscussionChar"/>
    <w:rsid w:val="003E5C9D"/>
    <w:pPr>
      <w:numPr>
        <w:numId w:val="22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3E5C9D"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80D36"/>
    <w:rPr>
      <w:rFonts w:ascii="Tms Rmn" w:hAnsi="Tms Rmn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80D36"/>
    <w:pPr>
      <w:widowControl w:val="0"/>
      <w:spacing w:after="0" w:line="240" w:lineRule="auto"/>
    </w:pPr>
    <w:rPr>
      <w:rFonts w:ascii="Tms Rmn" w:hAnsi="Tms Rmn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780D36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1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120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locked/>
    <w:rsid w:val="00676B9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676B91"/>
    <w:pPr>
      <w:spacing w:after="120" w:line="240" w:lineRule="auto"/>
    </w:pPr>
    <w:rPr>
      <w:rFonts w:ascii="Arial" w:hAnsi="Arial" w:cs="Arial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51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51D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51D1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51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51D1"/>
    <w:rPr>
      <w:rFonts w:ascii="Times New Roman" w:hAnsi="Times New Roman"/>
      <w:b/>
      <w:bCs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38445C"/>
    <w:pPr>
      <w:spacing w:line="240" w:lineRule="auto"/>
      <w:ind w:hanging="22"/>
    </w:pPr>
    <w:rPr>
      <w:rFonts w:ascii="Times New Roman" w:eastAsia="MS Mincho" w:hAnsi="Times New Roman" w:cs="Arial"/>
      <w:sz w:val="20"/>
      <w:szCs w:val="24"/>
      <w:lang w:val="en-US" w:eastAsia="en-US"/>
    </w:rPr>
  </w:style>
  <w:style w:type="character" w:customStyle="1" w:styleId="3GPPNormalTextChar">
    <w:name w:val="3GPP Normal Text Char"/>
    <w:link w:val="3GPPNormalText"/>
    <w:rsid w:val="0038445C"/>
    <w:rPr>
      <w:rFonts w:ascii="Times New Roman" w:eastAsia="MS Mincho" w:hAnsi="Times New Roman" w:cs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3285D-2887-45E3-A024-3D1E71CC8E74}">
  <ds:schemaRefs>
    <ds:schemaRef ds:uri="0b6aed8e-0313-4d17-80ff-d0e5da4931c5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3b34c8f0-1ef5-4d1e-bb66-517ce7fe7356"/>
    <ds:schemaRef ds:uri="http://purl.org/dc/dcmitype/"/>
    <ds:schemaRef ds:uri="71c5aaf6-e6ce-465b-b873-5148d2a4c105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8E32C24-5F96-4713-A70F-A7BA20BB6C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D117E1-8C1C-466A-8D7F-EAF64C1488C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A4E9F1-3478-4E48-ACB7-A0EA7CF8F59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8DA32A5-C37F-4DB0-94C0-5301A1F35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B5B53C8-48A5-44AD-B897-E90CB0B8E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877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Almeida, Erika (Nokia - DK/Aalborg)</cp:lastModifiedBy>
  <cp:revision>2</cp:revision>
  <cp:lastPrinted>2019-04-29T06:52:00Z</cp:lastPrinted>
  <dcterms:created xsi:type="dcterms:W3CDTF">2019-08-16T13:02:00Z</dcterms:created>
  <dcterms:modified xsi:type="dcterms:W3CDTF">2019-08-16T13:02:00Z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</Properties>
</file>